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97286" w14:textId="77777777" w:rsidR="00CF4448" w:rsidRPr="009F6B5E" w:rsidRDefault="00CF4448" w:rsidP="00B52734">
      <w:pPr>
        <w:spacing w:after="120"/>
        <w:rPr>
          <w:rFonts w:ascii="Arial" w:hAnsi="Arial" w:cs="Arial"/>
          <w:b/>
          <w:bCs/>
          <w:vanish/>
          <w:sz w:val="22"/>
          <w:szCs w:val="22"/>
          <w:specVanish/>
        </w:rPr>
      </w:pPr>
      <w:bookmarkStart w:id="0" w:name="_GoBack"/>
      <w:bookmarkEnd w:id="0"/>
      <w:r w:rsidRPr="009F6B5E">
        <w:rPr>
          <w:rFonts w:ascii="Arial" w:eastAsia="Calibri" w:hAnsi="Arial" w:cs="Arial"/>
          <w:b/>
          <w:bCs/>
          <w:sz w:val="22"/>
          <w:szCs w:val="22"/>
        </w:rPr>
        <w:t>Canadian Freight Index Highlights:</w:t>
      </w:r>
    </w:p>
    <w:p w14:paraId="242B541A" w14:textId="77777777" w:rsidR="00CF4448" w:rsidRPr="009F6B5E"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p>
    <w:p w14:paraId="2D461F9F" w14:textId="39C91712" w:rsidR="00CF4448" w:rsidRPr="00BB1C73" w:rsidRDefault="00CF4448" w:rsidP="00B52734">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BB1C73">
        <w:rPr>
          <w:rFonts w:ascii="Arial" w:eastAsia="Calibri" w:hAnsi="Arial" w:cs="Arial"/>
          <w:b/>
          <w:bCs/>
          <w:sz w:val="22"/>
          <w:szCs w:val="22"/>
        </w:rPr>
        <w:t>Month-over-month:</w:t>
      </w:r>
      <w:r w:rsidR="009C6304" w:rsidRPr="00BB1C73">
        <w:rPr>
          <w:rFonts w:ascii="Arial" w:eastAsia="Calibri" w:hAnsi="Arial" w:cs="Arial"/>
          <w:bCs/>
          <w:sz w:val="22"/>
          <w:szCs w:val="22"/>
        </w:rPr>
        <w:t xml:space="preserve"> </w:t>
      </w:r>
      <w:r w:rsidR="00A62CFD" w:rsidRPr="00BB1C73">
        <w:rPr>
          <w:rFonts w:ascii="Arial" w:eastAsia="Calibri" w:hAnsi="Arial" w:cs="Arial"/>
          <w:bCs/>
          <w:sz w:val="22"/>
          <w:szCs w:val="22"/>
        </w:rPr>
        <w:t>V</w:t>
      </w:r>
      <w:r w:rsidRPr="00BB1C73">
        <w:rPr>
          <w:rFonts w:ascii="Arial" w:eastAsia="Calibri" w:hAnsi="Arial" w:cs="Arial"/>
          <w:bCs/>
          <w:sz w:val="22"/>
          <w:szCs w:val="22"/>
        </w:rPr>
        <w:t>olumes</w:t>
      </w:r>
      <w:r w:rsidR="00A62CFD" w:rsidRPr="00BB1C73">
        <w:rPr>
          <w:rFonts w:ascii="Arial" w:eastAsia="Calibri" w:hAnsi="Arial" w:cs="Arial"/>
          <w:bCs/>
          <w:sz w:val="22"/>
          <w:szCs w:val="22"/>
        </w:rPr>
        <w:t xml:space="preserve"> </w:t>
      </w:r>
      <w:r w:rsidR="00F11F1F">
        <w:rPr>
          <w:rFonts w:ascii="Arial" w:eastAsia="Calibri" w:hAnsi="Arial" w:cs="Arial"/>
          <w:bCs/>
          <w:sz w:val="22"/>
          <w:szCs w:val="22"/>
        </w:rPr>
        <w:t>decreased nine</w:t>
      </w:r>
      <w:r w:rsidR="00BC3ADB" w:rsidRPr="00BB1C73">
        <w:rPr>
          <w:rFonts w:ascii="Arial" w:eastAsia="Calibri" w:hAnsi="Arial" w:cs="Arial"/>
          <w:bCs/>
          <w:sz w:val="22"/>
          <w:szCs w:val="22"/>
        </w:rPr>
        <w:t xml:space="preserve"> </w:t>
      </w:r>
      <w:r w:rsidR="009220A5" w:rsidRPr="00BB1C73">
        <w:rPr>
          <w:rFonts w:ascii="Arial" w:eastAsia="Calibri" w:hAnsi="Arial" w:cs="Arial"/>
          <w:bCs/>
          <w:sz w:val="22"/>
          <w:szCs w:val="22"/>
        </w:rPr>
        <w:t>percent</w:t>
      </w:r>
      <w:r w:rsidR="000C0137" w:rsidRPr="00BB1C73">
        <w:rPr>
          <w:rFonts w:ascii="Arial" w:eastAsia="Calibri" w:hAnsi="Arial" w:cs="Arial"/>
          <w:bCs/>
          <w:sz w:val="22"/>
          <w:szCs w:val="22"/>
        </w:rPr>
        <w:t xml:space="preserve"> compared to </w:t>
      </w:r>
      <w:r w:rsidR="00BC3ADB" w:rsidRPr="00BB1C73">
        <w:rPr>
          <w:rFonts w:ascii="Arial" w:eastAsia="Calibri" w:hAnsi="Arial" w:cs="Arial"/>
          <w:bCs/>
          <w:sz w:val="22"/>
          <w:szCs w:val="22"/>
        </w:rPr>
        <w:t xml:space="preserve">November </w:t>
      </w:r>
      <w:r w:rsidR="00F11F1F">
        <w:rPr>
          <w:rFonts w:ascii="Arial" w:eastAsia="Calibri" w:hAnsi="Arial" w:cs="Arial"/>
          <w:bCs/>
          <w:sz w:val="22"/>
          <w:szCs w:val="22"/>
        </w:rPr>
        <w:t>2018</w:t>
      </w:r>
      <w:r w:rsidR="00FF7195" w:rsidRPr="00BB1C73">
        <w:rPr>
          <w:rFonts w:ascii="Arial" w:eastAsia="Calibri" w:hAnsi="Arial" w:cs="Arial"/>
          <w:bCs/>
          <w:sz w:val="22"/>
          <w:szCs w:val="22"/>
        </w:rPr>
        <w:t>.</w:t>
      </w:r>
    </w:p>
    <w:p w14:paraId="7637D6BF" w14:textId="6A02F59E" w:rsidR="009A6DBE" w:rsidRPr="001A1025" w:rsidRDefault="00CF4448" w:rsidP="00D472B2">
      <w:pPr>
        <w:numPr>
          <w:ilvl w:val="0"/>
          <w:numId w:val="2"/>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ind w:left="360"/>
        <w:rPr>
          <w:rFonts w:ascii="Arial" w:eastAsia="Calibri" w:hAnsi="Arial" w:cs="Arial"/>
          <w:b/>
          <w:bCs/>
          <w:sz w:val="22"/>
          <w:szCs w:val="22"/>
        </w:rPr>
      </w:pPr>
      <w:r w:rsidRPr="001A1025">
        <w:rPr>
          <w:rFonts w:ascii="Arial" w:hAnsi="Arial" w:cs="Arial"/>
          <w:b/>
          <w:bCs/>
          <w:sz w:val="22"/>
          <w:szCs w:val="22"/>
        </w:rPr>
        <w:t>Year-over-yea</w:t>
      </w:r>
      <w:r w:rsidRPr="001A1025">
        <w:rPr>
          <w:rFonts w:ascii="Arial" w:eastAsia="Calibri" w:hAnsi="Arial" w:cs="Arial"/>
          <w:b/>
          <w:bCs/>
          <w:sz w:val="22"/>
          <w:szCs w:val="22"/>
        </w:rPr>
        <w:t xml:space="preserve">r: </w:t>
      </w:r>
      <w:r w:rsidR="00A62CFD" w:rsidRPr="001A1025">
        <w:rPr>
          <w:rFonts w:ascii="Arial" w:eastAsia="Calibri" w:hAnsi="Arial" w:cs="Arial"/>
          <w:bCs/>
          <w:sz w:val="22"/>
          <w:szCs w:val="22"/>
        </w:rPr>
        <w:t>V</w:t>
      </w:r>
      <w:r w:rsidRPr="001A1025">
        <w:rPr>
          <w:rFonts w:ascii="Arial" w:eastAsia="Calibri" w:hAnsi="Arial" w:cs="Arial"/>
          <w:bCs/>
          <w:sz w:val="22"/>
          <w:szCs w:val="22"/>
        </w:rPr>
        <w:t xml:space="preserve">olumes </w:t>
      </w:r>
      <w:r w:rsidR="00F11F1F">
        <w:rPr>
          <w:rFonts w:ascii="Arial" w:eastAsia="Calibri" w:hAnsi="Arial" w:cs="Arial"/>
          <w:bCs/>
          <w:sz w:val="22"/>
          <w:szCs w:val="22"/>
        </w:rPr>
        <w:t xml:space="preserve">decreased 38 </w:t>
      </w:r>
      <w:r w:rsidR="00400A05" w:rsidRPr="001A1025">
        <w:rPr>
          <w:rFonts w:ascii="Arial" w:eastAsia="Calibri" w:hAnsi="Arial" w:cs="Arial"/>
          <w:bCs/>
          <w:sz w:val="22"/>
          <w:szCs w:val="22"/>
        </w:rPr>
        <w:t xml:space="preserve">percent </w:t>
      </w:r>
      <w:r w:rsidR="00864FB1" w:rsidRPr="001A1025">
        <w:rPr>
          <w:rFonts w:ascii="Arial" w:eastAsia="Calibri" w:hAnsi="Arial" w:cs="Arial"/>
          <w:bCs/>
          <w:sz w:val="22"/>
          <w:szCs w:val="22"/>
        </w:rPr>
        <w:t>c</w:t>
      </w:r>
      <w:r w:rsidRPr="001A1025">
        <w:rPr>
          <w:rFonts w:ascii="Arial" w:eastAsia="Calibri" w:hAnsi="Arial" w:cs="Arial"/>
          <w:bCs/>
          <w:sz w:val="22"/>
          <w:szCs w:val="22"/>
        </w:rPr>
        <w:t xml:space="preserve">ompared to </w:t>
      </w:r>
      <w:r w:rsidR="00BC3ADB" w:rsidRPr="001A1025">
        <w:rPr>
          <w:rFonts w:ascii="Arial" w:eastAsia="Calibri" w:hAnsi="Arial" w:cs="Arial"/>
          <w:bCs/>
          <w:sz w:val="22"/>
          <w:szCs w:val="22"/>
        </w:rPr>
        <w:t>Dec</w:t>
      </w:r>
      <w:r w:rsidR="00D161FC" w:rsidRPr="001A1025">
        <w:rPr>
          <w:rFonts w:ascii="Arial" w:eastAsia="Calibri" w:hAnsi="Arial" w:cs="Arial"/>
          <w:bCs/>
          <w:sz w:val="22"/>
          <w:szCs w:val="22"/>
        </w:rPr>
        <w:t xml:space="preserve">ember </w:t>
      </w:r>
      <w:r w:rsidR="00F11F1F">
        <w:rPr>
          <w:rFonts w:ascii="Arial" w:eastAsia="Calibri" w:hAnsi="Arial" w:cs="Arial"/>
          <w:bCs/>
          <w:sz w:val="22"/>
          <w:szCs w:val="22"/>
        </w:rPr>
        <w:t>2017</w:t>
      </w:r>
      <w:r w:rsidR="00FF7195" w:rsidRPr="001A1025">
        <w:rPr>
          <w:rFonts w:ascii="Arial" w:eastAsia="Calibri" w:hAnsi="Arial" w:cs="Arial"/>
          <w:bCs/>
          <w:sz w:val="22"/>
          <w:szCs w:val="22"/>
        </w:rPr>
        <w:t>.</w:t>
      </w:r>
    </w:p>
    <w:p w14:paraId="5736623C" w14:textId="77777777" w:rsidR="004D1109" w:rsidRPr="001A1025" w:rsidRDefault="00503940" w:rsidP="002A2F15">
      <w:pPr>
        <w:pStyle w:val="ListParagraph"/>
        <w:numPr>
          <w:ilvl w:val="0"/>
          <w:numId w:val="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Cs/>
        </w:rPr>
      </w:pPr>
      <w:r w:rsidRPr="001A1025">
        <w:rPr>
          <w:rFonts w:ascii="Arial" w:hAnsi="Arial" w:cs="Arial"/>
          <w:b/>
          <w:bCs/>
        </w:rPr>
        <w:t>Trends:</w:t>
      </w:r>
    </w:p>
    <w:p w14:paraId="5C637395" w14:textId="753548F0" w:rsidR="005E590B" w:rsidRPr="00BB1C73" w:rsidRDefault="005E590B" w:rsidP="00940E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sz w:val="22"/>
          <w:szCs w:val="22"/>
        </w:rPr>
      </w:pPr>
      <w:r w:rsidRPr="001A1025">
        <w:rPr>
          <w:rFonts w:ascii="Arial" w:hAnsi="Arial" w:cs="Arial"/>
          <w:b/>
          <w:bCs/>
          <w:sz w:val="22"/>
          <w:szCs w:val="22"/>
        </w:rPr>
        <w:t>Loads:</w:t>
      </w:r>
      <w:r w:rsidRPr="001A1025">
        <w:rPr>
          <w:rFonts w:ascii="Arial" w:hAnsi="Arial" w:cs="Arial"/>
          <w:bCs/>
          <w:sz w:val="22"/>
          <w:szCs w:val="22"/>
        </w:rPr>
        <w:t xml:space="preserve"> </w:t>
      </w:r>
      <w:r w:rsidR="00157165" w:rsidRPr="001A1025">
        <w:rPr>
          <w:rFonts w:ascii="Arial" w:hAnsi="Arial" w:cs="Arial"/>
          <w:bCs/>
          <w:sz w:val="22"/>
          <w:szCs w:val="22"/>
        </w:rPr>
        <w:t xml:space="preserve">December load </w:t>
      </w:r>
      <w:r w:rsidR="00FE1C50" w:rsidRPr="001A1025">
        <w:rPr>
          <w:rFonts w:ascii="Arial" w:hAnsi="Arial" w:cs="Arial"/>
          <w:bCs/>
          <w:sz w:val="22"/>
          <w:szCs w:val="22"/>
        </w:rPr>
        <w:t>volumes</w:t>
      </w:r>
      <w:r w:rsidR="00F11F1F">
        <w:rPr>
          <w:rFonts w:ascii="Arial" w:hAnsi="Arial" w:cs="Arial"/>
          <w:bCs/>
          <w:sz w:val="22"/>
          <w:szCs w:val="22"/>
        </w:rPr>
        <w:t xml:space="preserve"> ended the year as the lowest for 2018</w:t>
      </w:r>
      <w:r w:rsidR="001A1025" w:rsidRPr="001A1025">
        <w:rPr>
          <w:rFonts w:ascii="Arial" w:hAnsi="Arial" w:cs="Arial"/>
          <w:bCs/>
          <w:sz w:val="22"/>
          <w:szCs w:val="22"/>
        </w:rPr>
        <w:t xml:space="preserve">, </w:t>
      </w:r>
      <w:r w:rsidR="00F11F1F">
        <w:rPr>
          <w:rFonts w:ascii="Arial" w:hAnsi="Arial" w:cs="Arial"/>
          <w:bCs/>
          <w:sz w:val="22"/>
          <w:szCs w:val="22"/>
        </w:rPr>
        <w:t xml:space="preserve">in stark contrast to January’s highest load volumes </w:t>
      </w:r>
      <w:r w:rsidR="0047460E">
        <w:rPr>
          <w:rFonts w:ascii="Arial" w:hAnsi="Arial" w:cs="Arial"/>
          <w:bCs/>
          <w:sz w:val="22"/>
          <w:szCs w:val="22"/>
        </w:rPr>
        <w:t xml:space="preserve">recorded </w:t>
      </w:r>
      <w:r w:rsidR="00F11F1F">
        <w:rPr>
          <w:rFonts w:ascii="Arial" w:hAnsi="Arial" w:cs="Arial"/>
          <w:bCs/>
          <w:sz w:val="22"/>
          <w:szCs w:val="22"/>
        </w:rPr>
        <w:t>in Loadlink history.</w:t>
      </w:r>
    </w:p>
    <w:p w14:paraId="6E560886" w14:textId="2FA70263" w:rsidR="005E590B" w:rsidRPr="00BB1C73" w:rsidRDefault="00503940" w:rsidP="005E590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 xml:space="preserve">The year started with </w:t>
      </w:r>
      <w:r w:rsidR="00F11F1F">
        <w:rPr>
          <w:rFonts w:ascii="Arial" w:hAnsi="Arial" w:cs="Arial"/>
          <w:bCs/>
        </w:rPr>
        <w:t xml:space="preserve">record-setting </w:t>
      </w:r>
      <w:r w:rsidRPr="00BB1C73">
        <w:rPr>
          <w:rFonts w:ascii="Arial" w:hAnsi="Arial" w:cs="Arial"/>
          <w:bCs/>
        </w:rPr>
        <w:t>h</w:t>
      </w:r>
      <w:r w:rsidR="00F11F1F">
        <w:rPr>
          <w:rFonts w:ascii="Arial" w:hAnsi="Arial" w:cs="Arial"/>
          <w:bCs/>
        </w:rPr>
        <w:t>igh load volumes and continued with strong performances</w:t>
      </w:r>
      <w:r w:rsidRPr="00BB1C73">
        <w:rPr>
          <w:rFonts w:ascii="Arial" w:hAnsi="Arial" w:cs="Arial"/>
          <w:bCs/>
        </w:rPr>
        <w:t xml:space="preserve"> </w:t>
      </w:r>
      <w:r w:rsidR="00F11F1F">
        <w:rPr>
          <w:rFonts w:ascii="Arial" w:hAnsi="Arial" w:cs="Arial"/>
          <w:bCs/>
        </w:rPr>
        <w:t>for the first half of the year.</w:t>
      </w:r>
    </w:p>
    <w:p w14:paraId="7591DE02" w14:textId="6DFEFCA4" w:rsidR="00FE1C50" w:rsidRDefault="00544296" w:rsidP="005E590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Summer was welcomed alongside a new set of tariffs amidst international trade disputes</w:t>
      </w:r>
      <w:r w:rsidR="00517D54">
        <w:rPr>
          <w:rFonts w:ascii="Arial" w:hAnsi="Arial" w:cs="Arial"/>
          <w:bCs/>
        </w:rPr>
        <w:t>, all of</w:t>
      </w:r>
      <w:r>
        <w:rPr>
          <w:rFonts w:ascii="Arial" w:hAnsi="Arial" w:cs="Arial"/>
          <w:bCs/>
        </w:rPr>
        <w:t xml:space="preserve"> which caused a dramatic decrease in load volumes for the remainder of 2018.</w:t>
      </w:r>
    </w:p>
    <w:p w14:paraId="25565216" w14:textId="5EE4436D" w:rsidR="00B230F0" w:rsidRPr="00B230F0" w:rsidRDefault="00B230F0" w:rsidP="00B230F0">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230F0">
        <w:rPr>
          <w:rFonts w:ascii="Arial" w:hAnsi="Arial" w:cs="Arial"/>
          <w:bCs/>
        </w:rPr>
        <w:t>Year-over-year, the</w:t>
      </w:r>
      <w:r w:rsidR="00544296">
        <w:rPr>
          <w:rFonts w:ascii="Arial" w:hAnsi="Arial" w:cs="Arial"/>
          <w:bCs/>
        </w:rPr>
        <w:t xml:space="preserve"> total load volumes averaged a 10</w:t>
      </w:r>
      <w:r w:rsidRPr="00B230F0">
        <w:rPr>
          <w:rFonts w:ascii="Arial" w:hAnsi="Arial" w:cs="Arial"/>
          <w:bCs/>
        </w:rPr>
        <w:t xml:space="preserve"> percent increase compared to t</w:t>
      </w:r>
      <w:r w:rsidR="00544296">
        <w:rPr>
          <w:rFonts w:ascii="Arial" w:hAnsi="Arial" w:cs="Arial"/>
          <w:bCs/>
        </w:rPr>
        <w:t>he total average volumes in 2017</w:t>
      </w:r>
      <w:r w:rsidRPr="00B230F0">
        <w:rPr>
          <w:rFonts w:ascii="Arial" w:hAnsi="Arial" w:cs="Arial"/>
          <w:bCs/>
        </w:rPr>
        <w:t>.</w:t>
      </w:r>
    </w:p>
    <w:p w14:paraId="77FEF121" w14:textId="589317B4" w:rsidR="005E590B" w:rsidRPr="00BB1C73" w:rsidRDefault="005E590B" w:rsidP="00940E11">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rPr>
          <w:rFonts w:ascii="Arial" w:hAnsi="Arial" w:cs="Arial"/>
          <w:bCs/>
          <w:sz w:val="22"/>
          <w:szCs w:val="22"/>
        </w:rPr>
      </w:pPr>
      <w:r w:rsidRPr="00BB1C73">
        <w:rPr>
          <w:rFonts w:ascii="Arial" w:hAnsi="Arial" w:cs="Arial"/>
          <w:bCs/>
          <w:sz w:val="22"/>
          <w:szCs w:val="22"/>
        </w:rPr>
        <w:tab/>
      </w:r>
      <w:r w:rsidRPr="00BB1C73">
        <w:rPr>
          <w:rFonts w:ascii="Arial" w:hAnsi="Arial" w:cs="Arial"/>
          <w:b/>
          <w:bCs/>
          <w:sz w:val="22"/>
          <w:szCs w:val="22"/>
        </w:rPr>
        <w:t>Equipment:</w:t>
      </w:r>
      <w:r w:rsidRPr="00BB1C73">
        <w:rPr>
          <w:rFonts w:ascii="Arial" w:hAnsi="Arial" w:cs="Arial"/>
          <w:bCs/>
          <w:sz w:val="22"/>
          <w:szCs w:val="22"/>
        </w:rPr>
        <w:t xml:space="preserve"> Truck capacity trended </w:t>
      </w:r>
      <w:r w:rsidR="00544296">
        <w:rPr>
          <w:rFonts w:ascii="Arial" w:hAnsi="Arial" w:cs="Arial"/>
          <w:bCs/>
          <w:sz w:val="22"/>
          <w:szCs w:val="22"/>
        </w:rPr>
        <w:t>upwards</w:t>
      </w:r>
      <w:r w:rsidRPr="00BB1C73">
        <w:rPr>
          <w:rFonts w:ascii="Arial" w:hAnsi="Arial" w:cs="Arial"/>
          <w:bCs/>
          <w:sz w:val="22"/>
          <w:szCs w:val="22"/>
        </w:rPr>
        <w:t xml:space="preserve"> </w:t>
      </w:r>
      <w:r w:rsidR="00544296">
        <w:rPr>
          <w:rFonts w:ascii="Arial" w:hAnsi="Arial" w:cs="Arial"/>
          <w:bCs/>
          <w:sz w:val="22"/>
          <w:szCs w:val="22"/>
        </w:rPr>
        <w:t>throughout the year following a tight capacity crunch</w:t>
      </w:r>
      <w:r w:rsidR="00544296">
        <w:rPr>
          <w:rFonts w:ascii="Arial" w:hAnsi="Arial" w:cs="Arial"/>
          <w:bCs/>
          <w:sz w:val="22"/>
          <w:szCs w:val="22"/>
        </w:rPr>
        <w:tab/>
        <w:t xml:space="preserve">that began in December 2017 and lasted until April 2018. </w:t>
      </w:r>
    </w:p>
    <w:p w14:paraId="0A756951" w14:textId="07CEB2C7" w:rsidR="00BB1C73" w:rsidRDefault="00BB1C73" w:rsidP="000208B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 xml:space="preserve">On average, truck volumes </w:t>
      </w:r>
      <w:r w:rsidR="00517D54">
        <w:rPr>
          <w:rFonts w:ascii="Arial" w:hAnsi="Arial" w:cs="Arial"/>
          <w:bCs/>
        </w:rPr>
        <w:t>rose by four</w:t>
      </w:r>
      <w:r>
        <w:rPr>
          <w:rFonts w:ascii="Arial" w:hAnsi="Arial" w:cs="Arial"/>
          <w:bCs/>
        </w:rPr>
        <w:t xml:space="preserve"> percent year-over-year. The</w:t>
      </w:r>
      <w:r w:rsidR="00B230F0">
        <w:rPr>
          <w:rFonts w:ascii="Arial" w:hAnsi="Arial" w:cs="Arial"/>
          <w:bCs/>
        </w:rPr>
        <w:t xml:space="preserve"> smallest</w:t>
      </w:r>
      <w:r w:rsidR="00260664">
        <w:rPr>
          <w:rFonts w:ascii="Arial" w:hAnsi="Arial" w:cs="Arial"/>
          <w:bCs/>
        </w:rPr>
        <w:t xml:space="preserve"> year-over-year</w:t>
      </w:r>
      <w:r w:rsidR="00B230F0">
        <w:rPr>
          <w:rFonts w:ascii="Arial" w:hAnsi="Arial" w:cs="Arial"/>
          <w:bCs/>
        </w:rPr>
        <w:t xml:space="preserve"> </w:t>
      </w:r>
      <w:r>
        <w:rPr>
          <w:rFonts w:ascii="Arial" w:hAnsi="Arial" w:cs="Arial"/>
          <w:bCs/>
        </w:rPr>
        <w:t xml:space="preserve">percent change was in </w:t>
      </w:r>
      <w:r w:rsidR="00095700">
        <w:rPr>
          <w:rFonts w:ascii="Arial" w:hAnsi="Arial" w:cs="Arial"/>
          <w:bCs/>
        </w:rPr>
        <w:t>June</w:t>
      </w:r>
      <w:r>
        <w:rPr>
          <w:rFonts w:ascii="Arial" w:hAnsi="Arial" w:cs="Arial"/>
          <w:bCs/>
        </w:rPr>
        <w:t xml:space="preserve"> at </w:t>
      </w:r>
      <w:r w:rsidR="00260664">
        <w:rPr>
          <w:rFonts w:ascii="Arial" w:hAnsi="Arial" w:cs="Arial"/>
          <w:bCs/>
        </w:rPr>
        <w:t>seven</w:t>
      </w:r>
      <w:r>
        <w:rPr>
          <w:rFonts w:ascii="Arial" w:hAnsi="Arial" w:cs="Arial"/>
          <w:bCs/>
        </w:rPr>
        <w:t xml:space="preserve"> percent, </w:t>
      </w:r>
      <w:r w:rsidR="007E0F7F">
        <w:rPr>
          <w:rFonts w:ascii="Arial" w:hAnsi="Arial" w:cs="Arial"/>
          <w:bCs/>
        </w:rPr>
        <w:t>while</w:t>
      </w:r>
      <w:r>
        <w:rPr>
          <w:rFonts w:ascii="Arial" w:hAnsi="Arial" w:cs="Arial"/>
          <w:bCs/>
        </w:rPr>
        <w:t xml:space="preserve"> the highest percent change took place in Dec</w:t>
      </w:r>
      <w:r w:rsidR="00517D54">
        <w:rPr>
          <w:rFonts w:ascii="Arial" w:hAnsi="Arial" w:cs="Arial"/>
          <w:bCs/>
        </w:rPr>
        <w:t>ember at 52</w:t>
      </w:r>
      <w:r>
        <w:rPr>
          <w:rFonts w:ascii="Arial" w:hAnsi="Arial" w:cs="Arial"/>
          <w:bCs/>
        </w:rPr>
        <w:t xml:space="preserve"> percent.</w:t>
      </w:r>
    </w:p>
    <w:p w14:paraId="5555F24F" w14:textId="56EC90A7" w:rsidR="00BB1C73" w:rsidRDefault="00BB1C73" w:rsidP="00BB1C73">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sidRPr="00BB1C73">
        <w:rPr>
          <w:rFonts w:ascii="Arial" w:hAnsi="Arial" w:cs="Arial"/>
          <w:bCs/>
        </w:rPr>
        <w:t xml:space="preserve">The highest equipment volumes were in </w:t>
      </w:r>
      <w:r w:rsidR="00260664">
        <w:rPr>
          <w:rFonts w:ascii="Arial" w:hAnsi="Arial" w:cs="Arial"/>
          <w:bCs/>
        </w:rPr>
        <w:t xml:space="preserve">October </w:t>
      </w:r>
      <w:r w:rsidRPr="00BB1C73">
        <w:rPr>
          <w:rFonts w:ascii="Arial" w:hAnsi="Arial" w:cs="Arial"/>
          <w:bCs/>
        </w:rPr>
        <w:t>and the l</w:t>
      </w:r>
      <w:r w:rsidR="00B230F0">
        <w:rPr>
          <w:rFonts w:ascii="Arial" w:hAnsi="Arial" w:cs="Arial"/>
          <w:bCs/>
        </w:rPr>
        <w:t xml:space="preserve">owest </w:t>
      </w:r>
      <w:r w:rsidRPr="00BB1C73">
        <w:rPr>
          <w:rFonts w:ascii="Arial" w:hAnsi="Arial" w:cs="Arial"/>
          <w:bCs/>
        </w:rPr>
        <w:t xml:space="preserve">equipment volumes were in </w:t>
      </w:r>
      <w:r w:rsidR="00517D54">
        <w:rPr>
          <w:rFonts w:ascii="Arial" w:hAnsi="Arial" w:cs="Arial"/>
          <w:bCs/>
        </w:rPr>
        <w:t>February</w:t>
      </w:r>
      <w:r w:rsidRPr="00BB1C73">
        <w:rPr>
          <w:rFonts w:ascii="Arial" w:hAnsi="Arial" w:cs="Arial"/>
          <w:bCs/>
        </w:rPr>
        <w:t>.</w:t>
      </w:r>
    </w:p>
    <w:p w14:paraId="5D3DAF24" w14:textId="77FF3E6F" w:rsidR="00BB1C73" w:rsidRPr="00BB1C73" w:rsidRDefault="00BB1C73" w:rsidP="00BB1C73">
      <w:pPr>
        <w:pStyle w:val="ListParagraph"/>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360"/>
        <w:rPr>
          <w:rFonts w:ascii="Arial" w:hAnsi="Arial" w:cs="Arial"/>
          <w:bCs/>
        </w:rPr>
      </w:pPr>
      <w:r>
        <w:rPr>
          <w:rFonts w:ascii="Arial" w:hAnsi="Arial" w:cs="Arial"/>
          <w:b/>
          <w:bCs/>
        </w:rPr>
        <w:t>Truck-to-load ratio</w:t>
      </w:r>
      <w:r w:rsidRPr="00BB1C73">
        <w:rPr>
          <w:rFonts w:ascii="Arial" w:hAnsi="Arial" w:cs="Arial"/>
          <w:b/>
          <w:bCs/>
        </w:rPr>
        <w:t>:</w:t>
      </w:r>
      <w:r w:rsidRPr="00BB1C73">
        <w:rPr>
          <w:rFonts w:ascii="Arial" w:hAnsi="Arial" w:cs="Arial"/>
          <w:bCs/>
        </w:rPr>
        <w:t xml:space="preserve"> </w:t>
      </w:r>
      <w:r w:rsidR="002E591B">
        <w:rPr>
          <w:rFonts w:ascii="Arial" w:hAnsi="Arial" w:cs="Arial"/>
          <w:bCs/>
        </w:rPr>
        <w:t xml:space="preserve">Truckload capacity </w:t>
      </w:r>
      <w:r w:rsidR="00C357C2">
        <w:rPr>
          <w:rFonts w:ascii="Arial" w:hAnsi="Arial" w:cs="Arial"/>
          <w:bCs/>
        </w:rPr>
        <w:t>was tight for the first half of 2018</w:t>
      </w:r>
      <w:r w:rsidR="002E591B">
        <w:rPr>
          <w:rFonts w:ascii="Arial" w:hAnsi="Arial" w:cs="Arial"/>
          <w:bCs/>
        </w:rPr>
        <w:t xml:space="preserve">. </w:t>
      </w:r>
      <w:r w:rsidR="00C357C2">
        <w:rPr>
          <w:rFonts w:ascii="Arial" w:hAnsi="Arial" w:cs="Arial"/>
          <w:bCs/>
        </w:rPr>
        <w:t xml:space="preserve">Load volumes </w:t>
      </w:r>
      <w:proofErr w:type="gramStart"/>
      <w:r w:rsidR="00C357C2">
        <w:rPr>
          <w:rFonts w:ascii="Arial" w:hAnsi="Arial" w:cs="Arial"/>
          <w:bCs/>
        </w:rPr>
        <w:t>declined</w:t>
      </w:r>
      <w:proofErr w:type="gramEnd"/>
      <w:r w:rsidR="00C357C2">
        <w:rPr>
          <w:rFonts w:ascii="Arial" w:hAnsi="Arial" w:cs="Arial"/>
          <w:bCs/>
        </w:rPr>
        <w:t xml:space="preserve"> and truck volumes recovered during the latter half of the year, which caused capacity to expand.</w:t>
      </w:r>
    </w:p>
    <w:p w14:paraId="2274EE3E" w14:textId="726526B2" w:rsidR="005E590B" w:rsidRPr="00BB1C73" w:rsidRDefault="00C357C2" w:rsidP="002E591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 xml:space="preserve">The ratio of trucks to loads began the year below </w:t>
      </w:r>
      <w:r w:rsidR="002A635A">
        <w:rPr>
          <w:rFonts w:ascii="Arial" w:hAnsi="Arial" w:cs="Arial"/>
          <w:bCs/>
        </w:rPr>
        <w:t xml:space="preserve">a </w:t>
      </w:r>
      <w:r>
        <w:rPr>
          <w:rFonts w:ascii="Arial" w:hAnsi="Arial" w:cs="Arial"/>
          <w:bCs/>
        </w:rPr>
        <w:t>1:1</w:t>
      </w:r>
      <w:r w:rsidR="002A635A">
        <w:rPr>
          <w:rFonts w:ascii="Arial" w:hAnsi="Arial" w:cs="Arial"/>
          <w:bCs/>
        </w:rPr>
        <w:t xml:space="preserve"> ratio</w:t>
      </w:r>
      <w:r>
        <w:rPr>
          <w:rFonts w:ascii="Arial" w:hAnsi="Arial" w:cs="Arial"/>
          <w:bCs/>
        </w:rPr>
        <w:t xml:space="preserve">. </w:t>
      </w:r>
      <w:r w:rsidR="002A635A">
        <w:rPr>
          <w:rFonts w:ascii="Arial" w:hAnsi="Arial" w:cs="Arial"/>
          <w:bCs/>
        </w:rPr>
        <w:t>As capacity recovered, it reached a high of over 3:1 near the year’s end. O</w:t>
      </w:r>
      <w:r>
        <w:rPr>
          <w:rFonts w:ascii="Arial" w:hAnsi="Arial" w:cs="Arial"/>
          <w:bCs/>
        </w:rPr>
        <w:t>verall,</w:t>
      </w:r>
      <w:r w:rsidR="005E590B" w:rsidRPr="00BB1C73">
        <w:rPr>
          <w:rFonts w:ascii="Arial" w:hAnsi="Arial" w:cs="Arial"/>
          <w:bCs/>
        </w:rPr>
        <w:t xml:space="preserve"> </w:t>
      </w:r>
      <w:r>
        <w:rPr>
          <w:rFonts w:ascii="Arial" w:hAnsi="Arial" w:cs="Arial"/>
          <w:bCs/>
        </w:rPr>
        <w:t>2018</w:t>
      </w:r>
      <w:r w:rsidR="002E591B">
        <w:rPr>
          <w:rFonts w:ascii="Arial" w:hAnsi="Arial" w:cs="Arial"/>
          <w:bCs/>
        </w:rPr>
        <w:t xml:space="preserve"> saw the number of trucks posted </w:t>
      </w:r>
      <w:r w:rsidR="007E0F7F">
        <w:rPr>
          <w:rFonts w:ascii="Arial" w:hAnsi="Arial" w:cs="Arial"/>
          <w:bCs/>
        </w:rPr>
        <w:t>versus</w:t>
      </w:r>
      <w:r w:rsidR="002E591B">
        <w:rPr>
          <w:rFonts w:ascii="Arial" w:hAnsi="Arial" w:cs="Arial"/>
          <w:bCs/>
        </w:rPr>
        <w:t xml:space="preserve"> the number of loads posted</w:t>
      </w:r>
      <w:r w:rsidR="002A635A">
        <w:rPr>
          <w:rFonts w:ascii="Arial" w:hAnsi="Arial" w:cs="Arial"/>
          <w:bCs/>
        </w:rPr>
        <w:t xml:space="preserve"> closer to a healthy ratio of 2:1.</w:t>
      </w:r>
    </w:p>
    <w:p w14:paraId="7AE48528" w14:textId="72C39D27" w:rsidR="002A2F15" w:rsidRPr="00BB1C73" w:rsidRDefault="00095700" w:rsidP="000208BB">
      <w:pPr>
        <w:pStyle w:val="ListParagraph"/>
        <w:numPr>
          <w:ilvl w:val="0"/>
          <w:numId w:val="8"/>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before="120" w:after="120"/>
        <w:ind w:left="1080"/>
        <w:rPr>
          <w:rFonts w:ascii="Arial" w:hAnsi="Arial" w:cs="Arial"/>
          <w:bCs/>
        </w:rPr>
      </w:pPr>
      <w:r>
        <w:rPr>
          <w:rFonts w:ascii="Arial" w:hAnsi="Arial" w:cs="Arial"/>
          <w:bCs/>
        </w:rPr>
        <w:t xml:space="preserve">The dynamic shift in capacity throughout 2018 was due to the coincidental polarity in load and truck volumes that occurred. While load volumes were at record highs at year start, truck availability was scarce. When truck availability began recovering, it coincided with when load volumes began dipping. This resulted in 2018 having both a capacity crunch and an expansion. </w:t>
      </w:r>
    </w:p>
    <w:p w14:paraId="2BD5380F" w14:textId="7B57EBE1" w:rsidR="00CF4448" w:rsidRPr="0037415F" w:rsidRDefault="00CF4448"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37415F">
        <w:rPr>
          <w:rFonts w:ascii="Arial" w:hAnsi="Arial" w:cs="Arial"/>
          <w:b/>
          <w:bCs/>
          <w:sz w:val="22"/>
          <w:szCs w:val="22"/>
        </w:rPr>
        <w:t xml:space="preserve">Cross-Border: </w:t>
      </w:r>
      <w:r w:rsidRPr="0037415F">
        <w:rPr>
          <w:rFonts w:ascii="Arial" w:hAnsi="Arial" w:cs="Arial"/>
          <w:bCs/>
          <w:sz w:val="22"/>
          <w:szCs w:val="22"/>
        </w:rPr>
        <w:t xml:space="preserve">Cross-border load postings accounted for </w:t>
      </w:r>
      <w:r w:rsidR="00095700">
        <w:rPr>
          <w:rFonts w:ascii="Arial" w:hAnsi="Arial" w:cs="Arial"/>
          <w:bCs/>
          <w:sz w:val="22"/>
          <w:szCs w:val="22"/>
        </w:rPr>
        <w:t>66</w:t>
      </w:r>
      <w:r w:rsidR="00BC3ADB" w:rsidRPr="0037415F">
        <w:rPr>
          <w:rFonts w:ascii="Arial" w:hAnsi="Arial" w:cs="Arial"/>
          <w:bCs/>
          <w:sz w:val="22"/>
          <w:szCs w:val="22"/>
        </w:rPr>
        <w:t xml:space="preserve"> </w:t>
      </w:r>
      <w:r w:rsidRPr="0037415F">
        <w:rPr>
          <w:rFonts w:ascii="Arial" w:hAnsi="Arial" w:cs="Arial"/>
          <w:bCs/>
          <w:sz w:val="22"/>
          <w:szCs w:val="22"/>
        </w:rPr>
        <w:t>percent of the data submitted by Loadlink’s customers</w:t>
      </w:r>
      <w:r w:rsidR="00FF7195" w:rsidRPr="0037415F">
        <w:rPr>
          <w:rFonts w:ascii="Arial" w:hAnsi="Arial" w:cs="Arial"/>
          <w:bCs/>
          <w:sz w:val="22"/>
          <w:szCs w:val="22"/>
        </w:rPr>
        <w:t>.</w:t>
      </w:r>
    </w:p>
    <w:p w14:paraId="2DD459E9" w14:textId="77777777" w:rsidR="008370BD" w:rsidRPr="0037415F" w:rsidRDefault="008370BD" w:rsidP="008D2EA5">
      <w:pPr>
        <w:tabs>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p>
    <w:p w14:paraId="468A1DE7" w14:textId="12B15C6B"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 border loads</w:t>
      </w:r>
      <w:r w:rsidRPr="0037415F">
        <w:rPr>
          <w:rFonts w:ascii="Arial" w:eastAsia="Calibri" w:hAnsi="Arial" w:cs="Arial"/>
          <w:sz w:val="22"/>
          <w:szCs w:val="22"/>
        </w:rPr>
        <w:t xml:space="preserve"> </w:t>
      </w:r>
      <w:r w:rsidR="00B55D1C" w:rsidRPr="0037415F">
        <w:rPr>
          <w:rFonts w:ascii="Arial" w:hAnsi="Arial" w:cs="Arial"/>
          <w:sz w:val="22"/>
          <w:szCs w:val="22"/>
        </w:rPr>
        <w:t xml:space="preserve">(from the United States to Canada) </w:t>
      </w:r>
      <w:r w:rsidR="00095700">
        <w:rPr>
          <w:rFonts w:ascii="Arial" w:eastAsia="Calibri" w:hAnsi="Arial" w:cs="Arial"/>
          <w:sz w:val="22"/>
          <w:szCs w:val="22"/>
        </w:rPr>
        <w:t>decreased</w:t>
      </w:r>
      <w:r w:rsidRPr="0037415F">
        <w:rPr>
          <w:rFonts w:ascii="Arial" w:eastAsia="Calibri" w:hAnsi="Arial" w:cs="Arial"/>
          <w:sz w:val="22"/>
          <w:szCs w:val="22"/>
        </w:rPr>
        <w:t xml:space="preserve"> </w:t>
      </w:r>
      <w:r w:rsidR="00095700">
        <w:rPr>
          <w:rFonts w:ascii="Arial" w:eastAsia="Calibri" w:hAnsi="Arial" w:cs="Arial"/>
          <w:sz w:val="22"/>
          <w:szCs w:val="22"/>
        </w:rPr>
        <w:t>38</w:t>
      </w:r>
      <w:r w:rsidR="009A7C2E" w:rsidRPr="0037415F">
        <w:rPr>
          <w:rFonts w:ascii="Arial" w:eastAsia="Calibri" w:hAnsi="Arial" w:cs="Arial"/>
          <w:sz w:val="22"/>
          <w:szCs w:val="22"/>
        </w:rPr>
        <w:t xml:space="preserve"> </w:t>
      </w:r>
      <w:r w:rsidRPr="0037415F">
        <w:rPr>
          <w:rFonts w:ascii="Arial" w:eastAsia="Calibri" w:hAnsi="Arial" w:cs="Arial"/>
          <w:sz w:val="22"/>
          <w:szCs w:val="22"/>
        </w:rPr>
        <w:t>percent</w:t>
      </w:r>
      <w:r w:rsidR="00B230F0">
        <w:rPr>
          <w:rFonts w:ascii="Arial" w:eastAsia="Calibri" w:hAnsi="Arial" w:cs="Arial"/>
          <w:sz w:val="22"/>
          <w:szCs w:val="22"/>
        </w:rPr>
        <w:t xml:space="preserve"> </w:t>
      </w:r>
      <w:r w:rsidRPr="0037415F">
        <w:rPr>
          <w:rFonts w:ascii="Arial" w:eastAsia="Calibri" w:hAnsi="Arial" w:cs="Arial"/>
          <w:bCs/>
          <w:sz w:val="22"/>
          <w:szCs w:val="22"/>
        </w:rPr>
        <w:t xml:space="preserve">and </w:t>
      </w:r>
      <w:r w:rsidRPr="0037415F">
        <w:rPr>
          <w:rFonts w:ascii="Arial" w:eastAsia="Calibri" w:hAnsi="Arial" w:cs="Arial"/>
          <w:b/>
          <w:bCs/>
          <w:sz w:val="22"/>
          <w:szCs w:val="22"/>
        </w:rPr>
        <w:t xml:space="preserve">outbound loads </w:t>
      </w:r>
      <w:r w:rsidR="00B55D1C" w:rsidRPr="0037415F">
        <w:rPr>
          <w:rFonts w:ascii="Arial" w:hAnsi="Arial" w:cs="Arial"/>
          <w:sz w:val="22"/>
          <w:szCs w:val="22"/>
        </w:rPr>
        <w:t xml:space="preserve">(from Canada to the US) </w:t>
      </w:r>
      <w:r w:rsidR="00095700">
        <w:rPr>
          <w:rFonts w:ascii="Arial" w:eastAsia="Calibri" w:hAnsi="Arial" w:cs="Arial"/>
          <w:bCs/>
          <w:sz w:val="22"/>
          <w:szCs w:val="22"/>
        </w:rPr>
        <w:t>decreased</w:t>
      </w:r>
      <w:r w:rsidRPr="0037415F">
        <w:rPr>
          <w:rFonts w:ascii="Arial" w:eastAsia="Calibri" w:hAnsi="Arial" w:cs="Arial"/>
          <w:bCs/>
          <w:sz w:val="22"/>
          <w:szCs w:val="22"/>
        </w:rPr>
        <w:t xml:space="preserve"> </w:t>
      </w:r>
      <w:r w:rsidR="00095700">
        <w:rPr>
          <w:rFonts w:ascii="Arial" w:eastAsia="Calibri" w:hAnsi="Arial" w:cs="Arial"/>
          <w:bCs/>
          <w:sz w:val="22"/>
          <w:szCs w:val="22"/>
        </w:rPr>
        <w:t>52</w:t>
      </w:r>
      <w:r w:rsidR="009A7C2E">
        <w:rPr>
          <w:rFonts w:ascii="Arial" w:eastAsia="Calibri" w:hAnsi="Arial" w:cs="Arial"/>
          <w:bCs/>
          <w:sz w:val="22"/>
          <w:szCs w:val="22"/>
        </w:rPr>
        <w:t xml:space="preserve"> </w:t>
      </w:r>
      <w:r w:rsidRPr="0037415F">
        <w:rPr>
          <w:rFonts w:ascii="Arial" w:eastAsia="Calibri" w:hAnsi="Arial" w:cs="Arial"/>
          <w:bCs/>
          <w:sz w:val="22"/>
          <w:szCs w:val="22"/>
        </w:rPr>
        <w:t>percent year-over-year</w:t>
      </w:r>
      <w:r w:rsidR="00F3275E" w:rsidRPr="0037415F">
        <w:rPr>
          <w:rFonts w:ascii="Arial" w:eastAsia="Calibri" w:hAnsi="Arial" w:cs="Arial"/>
          <w:bCs/>
          <w:sz w:val="22"/>
          <w:szCs w:val="22"/>
        </w:rPr>
        <w:t>.</w:t>
      </w:r>
      <w:r w:rsidRPr="0037415F">
        <w:rPr>
          <w:rFonts w:ascii="Arial" w:eastAsia="Calibri" w:hAnsi="Arial" w:cs="Arial"/>
          <w:bCs/>
          <w:sz w:val="22"/>
          <w:szCs w:val="22"/>
        </w:rPr>
        <w:t xml:space="preserve"> </w:t>
      </w:r>
    </w:p>
    <w:p w14:paraId="3BAA1417" w14:textId="5C81E2BB" w:rsidR="008370BD" w:rsidRPr="0037415F" w:rsidRDefault="008370BD" w:rsidP="004165D0">
      <w:pPr>
        <w:numPr>
          <w:ilvl w:val="0"/>
          <w:numId w:val="9"/>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eastAsia="Calibri" w:hAnsi="Arial" w:cs="Arial"/>
          <w:bCs/>
          <w:sz w:val="22"/>
          <w:szCs w:val="22"/>
        </w:rPr>
      </w:pPr>
      <w:r w:rsidRPr="0037415F">
        <w:rPr>
          <w:rFonts w:ascii="Arial" w:eastAsia="Calibri" w:hAnsi="Arial" w:cs="Arial"/>
          <w:b/>
          <w:bCs/>
          <w:sz w:val="22"/>
          <w:szCs w:val="22"/>
        </w:rPr>
        <w:t>Inbound cross border equipment</w:t>
      </w:r>
      <w:r w:rsidR="00095700">
        <w:rPr>
          <w:rFonts w:ascii="Arial" w:eastAsia="Calibri" w:hAnsi="Arial" w:cs="Arial"/>
          <w:bCs/>
          <w:sz w:val="22"/>
          <w:szCs w:val="22"/>
        </w:rPr>
        <w:t xml:space="preserve"> increased</w:t>
      </w:r>
      <w:r w:rsidRPr="0037415F">
        <w:rPr>
          <w:rFonts w:ascii="Arial" w:eastAsia="Calibri" w:hAnsi="Arial" w:cs="Arial"/>
          <w:bCs/>
          <w:sz w:val="22"/>
          <w:szCs w:val="22"/>
        </w:rPr>
        <w:t xml:space="preserve"> </w:t>
      </w:r>
      <w:r w:rsidR="00095700">
        <w:rPr>
          <w:rFonts w:ascii="Arial" w:eastAsia="Calibri" w:hAnsi="Arial" w:cs="Arial"/>
          <w:bCs/>
          <w:sz w:val="22"/>
          <w:szCs w:val="22"/>
        </w:rPr>
        <w:t>45</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 xml:space="preserve">percent and </w:t>
      </w:r>
      <w:r w:rsidRPr="0037415F">
        <w:rPr>
          <w:rFonts w:ascii="Arial" w:eastAsia="Calibri" w:hAnsi="Arial" w:cs="Arial"/>
          <w:b/>
          <w:bCs/>
          <w:sz w:val="22"/>
          <w:szCs w:val="22"/>
        </w:rPr>
        <w:t xml:space="preserve">outbound equipment </w:t>
      </w:r>
      <w:r w:rsidR="00095700">
        <w:rPr>
          <w:rFonts w:ascii="Arial" w:eastAsia="Calibri" w:hAnsi="Arial" w:cs="Arial"/>
          <w:bCs/>
          <w:sz w:val="22"/>
          <w:szCs w:val="22"/>
        </w:rPr>
        <w:t>increased</w:t>
      </w:r>
      <w:r w:rsidRPr="0037415F">
        <w:rPr>
          <w:rFonts w:ascii="Arial" w:eastAsia="Calibri" w:hAnsi="Arial" w:cs="Arial"/>
          <w:bCs/>
          <w:sz w:val="22"/>
          <w:szCs w:val="22"/>
        </w:rPr>
        <w:t xml:space="preserve"> </w:t>
      </w:r>
      <w:r w:rsidR="00095700">
        <w:rPr>
          <w:rFonts w:ascii="Arial" w:eastAsia="Calibri" w:hAnsi="Arial" w:cs="Arial"/>
          <w:bCs/>
          <w:sz w:val="22"/>
          <w:szCs w:val="22"/>
        </w:rPr>
        <w:t>73</w:t>
      </w:r>
      <w:r w:rsidR="009A7C2E" w:rsidRPr="0037415F">
        <w:rPr>
          <w:rFonts w:ascii="Arial" w:eastAsia="Calibri" w:hAnsi="Arial" w:cs="Arial"/>
          <w:bCs/>
          <w:sz w:val="22"/>
          <w:szCs w:val="22"/>
        </w:rPr>
        <w:t xml:space="preserve"> </w:t>
      </w:r>
      <w:r w:rsidRPr="0037415F">
        <w:rPr>
          <w:rFonts w:ascii="Arial" w:eastAsia="Calibri" w:hAnsi="Arial" w:cs="Arial"/>
          <w:bCs/>
          <w:sz w:val="22"/>
          <w:szCs w:val="22"/>
        </w:rPr>
        <w:t>percent</w:t>
      </w:r>
      <w:r w:rsidR="004D1109">
        <w:rPr>
          <w:rFonts w:ascii="Arial" w:eastAsia="Calibri" w:hAnsi="Arial" w:cs="Arial"/>
          <w:bCs/>
          <w:sz w:val="22"/>
          <w:szCs w:val="22"/>
        </w:rPr>
        <w:t xml:space="preserve"> year-over-year.</w:t>
      </w:r>
    </w:p>
    <w:p w14:paraId="06D182C9"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t>Cross Border Loads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p>
    <w:p w14:paraId="2E9316FD" w14:textId="5607F220"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Ontario</w:t>
      </w:r>
      <w:r w:rsidR="007E0F7F">
        <w:rPr>
          <w:rFonts w:ascii="Arial" w:hAnsi="Arial" w:cs="Arial"/>
          <w:bCs/>
          <w:sz w:val="22"/>
          <w:szCs w:val="22"/>
        </w:rPr>
        <w:t>:</w:t>
      </w:r>
      <w:r w:rsidRPr="00B55D1C">
        <w:rPr>
          <w:rFonts w:ascii="Arial" w:hAnsi="Arial" w:cs="Arial"/>
          <w:bCs/>
          <w:sz w:val="22"/>
          <w:szCs w:val="22"/>
        </w:rPr>
        <w:t xml:space="preserve"> </w:t>
      </w:r>
      <w:r w:rsidR="00124820" w:rsidRPr="00B55D1C">
        <w:rPr>
          <w:rFonts w:ascii="Arial" w:hAnsi="Arial" w:cs="Arial"/>
          <w:bCs/>
          <w:sz w:val="22"/>
          <w:szCs w:val="22"/>
        </w:rPr>
        <w:t>5</w:t>
      </w:r>
      <w:r w:rsidR="008D0E26">
        <w:rPr>
          <w:rFonts w:ascii="Arial" w:hAnsi="Arial" w:cs="Arial"/>
          <w:bCs/>
          <w:sz w:val="22"/>
          <w:szCs w:val="22"/>
        </w:rPr>
        <w:t>5</w:t>
      </w:r>
      <w:r w:rsidR="00124820" w:rsidRPr="00B55D1C">
        <w:rPr>
          <w:rFonts w:ascii="Arial" w:hAnsi="Arial" w:cs="Arial"/>
          <w:bCs/>
          <w:sz w:val="22"/>
          <w:szCs w:val="22"/>
        </w:rPr>
        <w:t xml:space="preserve"> </w:t>
      </w:r>
      <w:r w:rsidRPr="00B55D1C">
        <w:rPr>
          <w:rFonts w:ascii="Arial" w:hAnsi="Arial" w:cs="Arial"/>
          <w:bCs/>
          <w:sz w:val="22"/>
          <w:szCs w:val="22"/>
        </w:rPr>
        <w:t>percent</w:t>
      </w:r>
    </w:p>
    <w:p w14:paraId="5BE5A3B4" w14:textId="6F0E7F0B"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Western</w:t>
      </w:r>
      <w:r w:rsidR="007E0F7F">
        <w:rPr>
          <w:rFonts w:ascii="Arial" w:hAnsi="Arial" w:cs="Arial"/>
          <w:bCs/>
          <w:sz w:val="22"/>
          <w:szCs w:val="22"/>
        </w:rPr>
        <w:t>:</w:t>
      </w:r>
      <w:r w:rsidRPr="00B55D1C">
        <w:rPr>
          <w:rFonts w:ascii="Arial" w:hAnsi="Arial" w:cs="Arial"/>
          <w:bCs/>
          <w:sz w:val="22"/>
          <w:szCs w:val="22"/>
        </w:rPr>
        <w:t xml:space="preserve"> </w:t>
      </w:r>
      <w:r w:rsidR="002F3D0F" w:rsidRPr="00B55D1C">
        <w:rPr>
          <w:rFonts w:ascii="Arial" w:hAnsi="Arial" w:cs="Arial"/>
          <w:bCs/>
          <w:sz w:val="22"/>
          <w:szCs w:val="22"/>
        </w:rPr>
        <w:t>2</w:t>
      </w:r>
      <w:r w:rsidR="008D0E26">
        <w:rPr>
          <w:rFonts w:ascii="Arial" w:hAnsi="Arial" w:cs="Arial"/>
          <w:bCs/>
          <w:sz w:val="22"/>
          <w:szCs w:val="22"/>
        </w:rPr>
        <w:t>3</w:t>
      </w:r>
      <w:r w:rsidR="002F3D0F" w:rsidRPr="00B55D1C">
        <w:rPr>
          <w:rFonts w:ascii="Arial" w:hAnsi="Arial" w:cs="Arial"/>
          <w:bCs/>
          <w:sz w:val="22"/>
          <w:szCs w:val="22"/>
        </w:rPr>
        <w:t xml:space="preserve"> </w:t>
      </w:r>
      <w:r w:rsidRPr="00B55D1C">
        <w:rPr>
          <w:rFonts w:ascii="Arial" w:hAnsi="Arial" w:cs="Arial"/>
          <w:bCs/>
          <w:sz w:val="22"/>
          <w:szCs w:val="22"/>
        </w:rPr>
        <w:t>percent</w:t>
      </w:r>
    </w:p>
    <w:p w14:paraId="13C60849" w14:textId="29DEB030"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Quebec</w:t>
      </w:r>
      <w:r w:rsidR="007E0F7F">
        <w:rPr>
          <w:rFonts w:ascii="Arial" w:hAnsi="Arial" w:cs="Arial"/>
          <w:bCs/>
          <w:sz w:val="22"/>
          <w:szCs w:val="22"/>
        </w:rPr>
        <w:t>:</w:t>
      </w:r>
      <w:r w:rsidRPr="00B55D1C">
        <w:rPr>
          <w:rFonts w:ascii="Arial" w:hAnsi="Arial" w:cs="Arial"/>
          <w:bCs/>
          <w:sz w:val="22"/>
          <w:szCs w:val="22"/>
        </w:rPr>
        <w:t xml:space="preserve"> </w:t>
      </w:r>
      <w:r w:rsidR="008D0E26">
        <w:rPr>
          <w:rFonts w:ascii="Arial" w:hAnsi="Arial" w:cs="Arial"/>
          <w:bCs/>
          <w:sz w:val="22"/>
          <w:szCs w:val="22"/>
        </w:rPr>
        <w:t>20</w:t>
      </w:r>
      <w:r w:rsidR="00203D8B" w:rsidRPr="00B55D1C">
        <w:rPr>
          <w:rFonts w:ascii="Arial" w:hAnsi="Arial" w:cs="Arial"/>
          <w:bCs/>
          <w:sz w:val="22"/>
          <w:szCs w:val="22"/>
        </w:rPr>
        <w:t xml:space="preserve"> </w:t>
      </w:r>
      <w:r w:rsidRPr="00B55D1C">
        <w:rPr>
          <w:rFonts w:ascii="Arial" w:hAnsi="Arial" w:cs="Arial"/>
          <w:bCs/>
          <w:sz w:val="22"/>
          <w:szCs w:val="22"/>
        </w:rPr>
        <w:t>percent</w:t>
      </w:r>
    </w:p>
    <w:p w14:paraId="2F388E78" w14:textId="3E547709"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Atlantic</w:t>
      </w:r>
      <w:r w:rsidR="007E0F7F">
        <w:rPr>
          <w:rFonts w:ascii="Arial" w:hAnsi="Arial" w:cs="Arial"/>
          <w:bCs/>
          <w:sz w:val="22"/>
          <w:szCs w:val="22"/>
        </w:rPr>
        <w:t>:</w:t>
      </w:r>
      <w:r w:rsidRPr="00B55D1C">
        <w:rPr>
          <w:rFonts w:ascii="Arial" w:hAnsi="Arial" w:cs="Arial"/>
          <w:bCs/>
          <w:sz w:val="22"/>
          <w:szCs w:val="22"/>
        </w:rPr>
        <w:t xml:space="preserve"> </w:t>
      </w:r>
      <w:r w:rsidR="008D0E26">
        <w:rPr>
          <w:rFonts w:ascii="Arial" w:hAnsi="Arial" w:cs="Arial"/>
          <w:bCs/>
          <w:sz w:val="22"/>
          <w:szCs w:val="22"/>
        </w:rPr>
        <w:t>2</w:t>
      </w:r>
      <w:r w:rsidR="00FD3691" w:rsidRPr="00B55D1C">
        <w:rPr>
          <w:rFonts w:ascii="Arial" w:hAnsi="Arial" w:cs="Arial"/>
          <w:bCs/>
          <w:sz w:val="22"/>
          <w:szCs w:val="22"/>
        </w:rPr>
        <w:t xml:space="preserve"> </w:t>
      </w:r>
      <w:r w:rsidRPr="00B55D1C">
        <w:rPr>
          <w:rFonts w:ascii="Arial" w:hAnsi="Arial" w:cs="Arial"/>
          <w:bCs/>
          <w:sz w:val="22"/>
          <w:szCs w:val="22"/>
        </w:rPr>
        <w:t>percent</w:t>
      </w:r>
    </w:p>
    <w:p w14:paraId="27BE630B" w14:textId="77777777" w:rsidR="00CF4448" w:rsidRPr="00B55D1C"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240"/>
        <w:contextualSpacing/>
        <w:rPr>
          <w:rFonts w:ascii="Arial" w:hAnsi="Arial" w:cs="Arial"/>
          <w:b/>
          <w:bCs/>
          <w:sz w:val="22"/>
          <w:szCs w:val="22"/>
        </w:rPr>
      </w:pPr>
    </w:p>
    <w:p w14:paraId="016F4407" w14:textId="77777777" w:rsidR="003023A3" w:rsidRDefault="003023A3"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14:paraId="7A47FF0E" w14:textId="77777777" w:rsidR="003023A3" w:rsidRDefault="003023A3"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14:paraId="197174F5" w14:textId="77777777" w:rsidR="003023A3" w:rsidRDefault="003023A3"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14:paraId="4DEA617B" w14:textId="3710C565"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r w:rsidRPr="00B55D1C">
        <w:rPr>
          <w:rFonts w:ascii="Arial" w:hAnsi="Arial" w:cs="Arial"/>
          <w:b/>
          <w:bCs/>
          <w:sz w:val="22"/>
          <w:szCs w:val="22"/>
        </w:rPr>
        <w:lastRenderedPageBreak/>
        <w:t>Cross Border Equipment into Canada</w:t>
      </w:r>
      <w:r w:rsidR="00D80E56" w:rsidRPr="00B55D1C">
        <w:rPr>
          <w:rFonts w:ascii="Arial" w:hAnsi="Arial" w:cs="Arial"/>
          <w:b/>
          <w:bCs/>
          <w:sz w:val="22"/>
          <w:szCs w:val="22"/>
        </w:rPr>
        <w:t xml:space="preserve"> b</w:t>
      </w:r>
      <w:r w:rsidRPr="00B55D1C">
        <w:rPr>
          <w:rFonts w:ascii="Arial" w:hAnsi="Arial" w:cs="Arial"/>
          <w:b/>
          <w:bCs/>
          <w:sz w:val="22"/>
          <w:szCs w:val="22"/>
        </w:rPr>
        <w:t xml:space="preserve">y Region of </w:t>
      </w:r>
      <w:r w:rsidRPr="00B230F0">
        <w:rPr>
          <w:rFonts w:ascii="Arial" w:hAnsi="Arial" w:cs="Arial"/>
          <w:b/>
          <w:bCs/>
          <w:sz w:val="22"/>
          <w:szCs w:val="22"/>
        </w:rPr>
        <w:t>Destination:</w:t>
      </w:r>
    </w:p>
    <w:p w14:paraId="33AA8646"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Ontario</w:t>
      </w:r>
      <w:r w:rsidR="007E0F7F">
        <w:rPr>
          <w:rFonts w:ascii="Arial" w:hAnsi="Arial" w:cs="Arial"/>
          <w:bCs/>
          <w:sz w:val="22"/>
          <w:szCs w:val="22"/>
        </w:rPr>
        <w:t>:</w:t>
      </w:r>
      <w:r w:rsidRPr="00B55D1C">
        <w:rPr>
          <w:rFonts w:ascii="Arial" w:hAnsi="Arial" w:cs="Arial"/>
          <w:bCs/>
          <w:sz w:val="22"/>
          <w:szCs w:val="22"/>
        </w:rPr>
        <w:t xml:space="preserve"> </w:t>
      </w:r>
      <w:r w:rsidR="000208BB">
        <w:rPr>
          <w:rFonts w:ascii="Arial" w:hAnsi="Arial" w:cs="Arial"/>
          <w:bCs/>
          <w:sz w:val="22"/>
          <w:szCs w:val="22"/>
        </w:rPr>
        <w:t>4</w:t>
      </w:r>
      <w:r w:rsidR="00124820">
        <w:rPr>
          <w:rFonts w:ascii="Arial" w:hAnsi="Arial" w:cs="Arial"/>
          <w:bCs/>
          <w:sz w:val="22"/>
          <w:szCs w:val="22"/>
        </w:rPr>
        <w:t>9</w:t>
      </w:r>
      <w:r w:rsidRPr="00B55D1C">
        <w:rPr>
          <w:rFonts w:ascii="Arial" w:hAnsi="Arial" w:cs="Arial"/>
          <w:bCs/>
          <w:sz w:val="22"/>
          <w:szCs w:val="22"/>
        </w:rPr>
        <w:t xml:space="preserve"> percent</w:t>
      </w:r>
    </w:p>
    <w:p w14:paraId="2FEDF60F" w14:textId="0C7CF4D0"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Western</w:t>
      </w:r>
      <w:r w:rsidR="007E0F7F">
        <w:rPr>
          <w:rFonts w:ascii="Arial" w:hAnsi="Arial" w:cs="Arial"/>
          <w:bCs/>
          <w:sz w:val="22"/>
          <w:szCs w:val="22"/>
        </w:rPr>
        <w:t>:</w:t>
      </w:r>
      <w:r w:rsidRPr="00B55D1C">
        <w:rPr>
          <w:rFonts w:ascii="Arial" w:hAnsi="Arial" w:cs="Arial"/>
          <w:bCs/>
          <w:sz w:val="22"/>
          <w:szCs w:val="22"/>
        </w:rPr>
        <w:t xml:space="preserve"> </w:t>
      </w:r>
      <w:r w:rsidR="008D0E26">
        <w:rPr>
          <w:rFonts w:ascii="Arial" w:hAnsi="Arial" w:cs="Arial"/>
          <w:bCs/>
          <w:sz w:val="22"/>
          <w:szCs w:val="22"/>
        </w:rPr>
        <w:t>30</w:t>
      </w:r>
      <w:r w:rsidR="00203D8B" w:rsidRPr="00B55D1C">
        <w:rPr>
          <w:rFonts w:ascii="Arial" w:hAnsi="Arial" w:cs="Arial"/>
          <w:bCs/>
          <w:sz w:val="22"/>
          <w:szCs w:val="22"/>
        </w:rPr>
        <w:t xml:space="preserve"> </w:t>
      </w:r>
      <w:r w:rsidR="00AF09E9" w:rsidRPr="00B55D1C">
        <w:rPr>
          <w:rFonts w:ascii="Arial" w:hAnsi="Arial" w:cs="Arial"/>
          <w:bCs/>
          <w:sz w:val="22"/>
          <w:szCs w:val="22"/>
        </w:rPr>
        <w:t>p</w:t>
      </w:r>
      <w:r w:rsidRPr="00B55D1C">
        <w:rPr>
          <w:rFonts w:ascii="Arial" w:hAnsi="Arial" w:cs="Arial"/>
          <w:bCs/>
          <w:sz w:val="22"/>
          <w:szCs w:val="22"/>
        </w:rPr>
        <w:t>ercent</w:t>
      </w:r>
    </w:p>
    <w:p w14:paraId="570573FE" w14:textId="5884867A"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Quebec</w:t>
      </w:r>
      <w:r w:rsidR="007E0F7F">
        <w:rPr>
          <w:rFonts w:ascii="Arial" w:hAnsi="Arial" w:cs="Arial"/>
          <w:bCs/>
          <w:sz w:val="22"/>
          <w:szCs w:val="22"/>
        </w:rPr>
        <w:t>:</w:t>
      </w:r>
      <w:r w:rsidRPr="00B55D1C">
        <w:rPr>
          <w:rFonts w:ascii="Arial" w:hAnsi="Arial" w:cs="Arial"/>
          <w:bCs/>
          <w:sz w:val="22"/>
          <w:szCs w:val="22"/>
        </w:rPr>
        <w:t xml:space="preserve"> </w:t>
      </w:r>
      <w:r w:rsidR="008D0E26">
        <w:rPr>
          <w:rFonts w:ascii="Arial" w:hAnsi="Arial" w:cs="Arial"/>
          <w:bCs/>
          <w:sz w:val="22"/>
          <w:szCs w:val="22"/>
        </w:rPr>
        <w:t>18</w:t>
      </w:r>
      <w:r w:rsidR="00203D8B" w:rsidRPr="00B55D1C">
        <w:rPr>
          <w:rFonts w:ascii="Arial" w:hAnsi="Arial" w:cs="Arial"/>
          <w:bCs/>
          <w:sz w:val="22"/>
          <w:szCs w:val="22"/>
        </w:rPr>
        <w:t xml:space="preserve"> </w:t>
      </w:r>
      <w:r w:rsidRPr="00B55D1C">
        <w:rPr>
          <w:rFonts w:ascii="Arial" w:hAnsi="Arial" w:cs="Arial"/>
          <w:bCs/>
          <w:sz w:val="22"/>
          <w:szCs w:val="22"/>
        </w:rPr>
        <w:t>percent</w:t>
      </w:r>
    </w:p>
    <w:p w14:paraId="073FA940" w14:textId="0C6A72EB"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Cs/>
          <w:sz w:val="22"/>
          <w:szCs w:val="22"/>
        </w:rPr>
      </w:pPr>
      <w:r w:rsidRPr="00B55D1C">
        <w:rPr>
          <w:rFonts w:ascii="Arial" w:hAnsi="Arial" w:cs="Arial"/>
          <w:bCs/>
          <w:sz w:val="22"/>
          <w:szCs w:val="22"/>
        </w:rPr>
        <w:t>Atlantic</w:t>
      </w:r>
      <w:r w:rsidR="007E0F7F">
        <w:rPr>
          <w:rFonts w:ascii="Arial" w:hAnsi="Arial" w:cs="Arial"/>
          <w:bCs/>
          <w:sz w:val="22"/>
          <w:szCs w:val="22"/>
        </w:rPr>
        <w:t>:</w:t>
      </w:r>
      <w:r w:rsidRPr="00B55D1C">
        <w:rPr>
          <w:rFonts w:ascii="Arial" w:hAnsi="Arial" w:cs="Arial"/>
          <w:bCs/>
          <w:sz w:val="22"/>
          <w:szCs w:val="22"/>
        </w:rPr>
        <w:t xml:space="preserve"> </w:t>
      </w:r>
      <w:r w:rsidR="008D0E26">
        <w:rPr>
          <w:rFonts w:ascii="Arial" w:hAnsi="Arial" w:cs="Arial"/>
          <w:bCs/>
          <w:sz w:val="22"/>
          <w:szCs w:val="22"/>
        </w:rPr>
        <w:t>3</w:t>
      </w:r>
      <w:r w:rsidRPr="00B55D1C">
        <w:rPr>
          <w:rFonts w:ascii="Arial" w:hAnsi="Arial" w:cs="Arial"/>
          <w:bCs/>
          <w:sz w:val="22"/>
          <w:szCs w:val="22"/>
        </w:rPr>
        <w:t xml:space="preserve"> percent</w:t>
      </w:r>
    </w:p>
    <w:p w14:paraId="304CA4CA" w14:textId="77777777" w:rsidR="00CF4448" w:rsidRPr="00B55D1C" w:rsidRDefault="00CF4448"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contextualSpacing/>
        <w:rPr>
          <w:rFonts w:ascii="Arial" w:hAnsi="Arial" w:cs="Arial"/>
          <w:b/>
          <w:bCs/>
          <w:sz w:val="22"/>
          <w:szCs w:val="22"/>
        </w:rPr>
      </w:pPr>
    </w:p>
    <w:p w14:paraId="396473E0" w14:textId="18535B60" w:rsidR="00CF4448" w:rsidRPr="00B55D1C" w:rsidRDefault="00CF4448" w:rsidP="003562D1">
      <w:pPr>
        <w:spacing w:after="200" w:line="276" w:lineRule="auto"/>
        <w:rPr>
          <w:rFonts w:ascii="Arial" w:hAnsi="Arial" w:cs="Arial"/>
          <w:b/>
          <w:bCs/>
          <w:sz w:val="22"/>
          <w:szCs w:val="22"/>
        </w:rPr>
      </w:pPr>
      <w:r w:rsidRPr="00B55D1C">
        <w:rPr>
          <w:rFonts w:ascii="Arial" w:hAnsi="Arial" w:cs="Arial"/>
          <w:b/>
          <w:bCs/>
          <w:sz w:val="22"/>
          <w:szCs w:val="22"/>
        </w:rPr>
        <w:t xml:space="preserve">Intra-Canada: </w:t>
      </w:r>
      <w:r w:rsidRPr="00B55D1C">
        <w:rPr>
          <w:rFonts w:ascii="Arial" w:hAnsi="Arial" w:cs="Arial"/>
          <w:bCs/>
          <w:sz w:val="22"/>
          <w:szCs w:val="22"/>
        </w:rPr>
        <w:t xml:space="preserve">Postings accounted for </w:t>
      </w:r>
      <w:r w:rsidR="008D0E26">
        <w:rPr>
          <w:rFonts w:ascii="Arial" w:hAnsi="Arial" w:cs="Arial"/>
          <w:bCs/>
          <w:sz w:val="22"/>
          <w:szCs w:val="22"/>
        </w:rPr>
        <w:t>32</w:t>
      </w:r>
      <w:r w:rsidR="00090277" w:rsidRPr="00B55D1C">
        <w:rPr>
          <w:rFonts w:ascii="Arial" w:hAnsi="Arial" w:cs="Arial"/>
          <w:bCs/>
          <w:sz w:val="22"/>
          <w:szCs w:val="22"/>
        </w:rPr>
        <w:t xml:space="preserve"> </w:t>
      </w:r>
      <w:r w:rsidRPr="00B55D1C">
        <w:rPr>
          <w:rFonts w:ascii="Arial" w:hAnsi="Arial" w:cs="Arial"/>
          <w:bCs/>
          <w:sz w:val="22"/>
          <w:szCs w:val="22"/>
        </w:rPr>
        <w:t>percent of the data submitted by Loadlink’s customers</w:t>
      </w:r>
      <w:r w:rsidR="00727EB2" w:rsidRPr="00B55D1C">
        <w:rPr>
          <w:rFonts w:ascii="Arial" w:hAnsi="Arial" w:cs="Arial"/>
          <w:bCs/>
          <w:sz w:val="22"/>
          <w:szCs w:val="22"/>
        </w:rPr>
        <w:t>.</w:t>
      </w:r>
    </w:p>
    <w:p w14:paraId="5DBE3CA1" w14:textId="77777777" w:rsidR="00CF4448" w:rsidRPr="00B55D1C" w:rsidRDefault="00CF4448"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rPr>
          <w:rFonts w:ascii="Arial" w:hAnsi="Arial" w:cs="Arial"/>
          <w:b/>
          <w:bCs/>
          <w:sz w:val="22"/>
          <w:szCs w:val="22"/>
        </w:rPr>
      </w:pPr>
      <w:r w:rsidRPr="00B55D1C">
        <w:rPr>
          <w:rFonts w:ascii="Arial" w:hAnsi="Arial" w:cs="Arial"/>
          <w:b/>
          <w:bCs/>
          <w:sz w:val="22"/>
          <w:szCs w:val="22"/>
        </w:rPr>
        <w:t>Loads within Canada:</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8"/>
        <w:gridCol w:w="6200"/>
      </w:tblGrid>
      <w:tr w:rsidR="00B52734" w:rsidRPr="00B55D1C" w14:paraId="7FD0E7FC" w14:textId="77777777" w:rsidTr="004165D0">
        <w:tc>
          <w:tcPr>
            <w:tcW w:w="3330" w:type="dxa"/>
          </w:tcPr>
          <w:p w14:paraId="6628C7AD" w14:textId="77777777" w:rsidR="00B52734" w:rsidRPr="00B55D1C" w:rsidRDefault="00B52734" w:rsidP="004A0343">
            <w:pPr>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B55D1C">
              <w:rPr>
                <w:rFonts w:ascii="Arial" w:hAnsi="Arial" w:cs="Arial"/>
                <w:b/>
                <w:bCs/>
              </w:rPr>
              <w:t xml:space="preserve">By Region of </w:t>
            </w:r>
            <w:r w:rsidRPr="00B230F0">
              <w:rPr>
                <w:rFonts w:ascii="Arial" w:hAnsi="Arial" w:cs="Arial"/>
                <w:b/>
                <w:bCs/>
              </w:rPr>
              <w:t xml:space="preserve">Origin </w:t>
            </w:r>
          </w:p>
          <w:p w14:paraId="458113DC"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Western</w:t>
            </w:r>
            <w:r w:rsidR="007E0F7F">
              <w:rPr>
                <w:rFonts w:ascii="Arial" w:hAnsi="Arial" w:cs="Arial"/>
                <w:bCs/>
                <w:sz w:val="22"/>
                <w:szCs w:val="22"/>
              </w:rPr>
              <w:t>:</w:t>
            </w:r>
            <w:r w:rsidRPr="00B55D1C">
              <w:rPr>
                <w:rFonts w:ascii="Arial" w:hAnsi="Arial" w:cs="Arial"/>
                <w:bCs/>
              </w:rPr>
              <w:t xml:space="preserve"> </w:t>
            </w:r>
            <w:r w:rsidR="00887F9F">
              <w:rPr>
                <w:rFonts w:ascii="Arial" w:hAnsi="Arial" w:cs="Arial"/>
                <w:bCs/>
              </w:rPr>
              <w:t>43</w:t>
            </w:r>
            <w:r w:rsidR="00887F9F" w:rsidRPr="00B55D1C">
              <w:rPr>
                <w:rFonts w:ascii="Arial" w:hAnsi="Arial" w:cs="Arial"/>
                <w:bCs/>
              </w:rPr>
              <w:t xml:space="preserve"> </w:t>
            </w:r>
            <w:r w:rsidRPr="00B55D1C">
              <w:rPr>
                <w:rFonts w:ascii="Arial" w:hAnsi="Arial" w:cs="Arial"/>
                <w:bCs/>
              </w:rPr>
              <w:t>percent</w:t>
            </w:r>
          </w:p>
          <w:p w14:paraId="03E3BADD" w14:textId="5DF14DB2"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Ontario</w:t>
            </w:r>
            <w:r w:rsidR="007E0F7F">
              <w:rPr>
                <w:rFonts w:ascii="Arial" w:hAnsi="Arial" w:cs="Arial"/>
                <w:bCs/>
                <w:sz w:val="22"/>
                <w:szCs w:val="22"/>
              </w:rPr>
              <w:t>:</w:t>
            </w:r>
            <w:r w:rsidRPr="00B55D1C">
              <w:rPr>
                <w:rFonts w:ascii="Arial" w:hAnsi="Arial" w:cs="Arial"/>
                <w:bCs/>
              </w:rPr>
              <w:t xml:space="preserve"> </w:t>
            </w:r>
            <w:r w:rsidR="002F3D0F" w:rsidRPr="00B55D1C">
              <w:rPr>
                <w:rFonts w:ascii="Arial" w:hAnsi="Arial" w:cs="Arial"/>
                <w:bCs/>
              </w:rPr>
              <w:t>3</w:t>
            </w:r>
            <w:r w:rsidR="008D0E26">
              <w:rPr>
                <w:rFonts w:ascii="Arial" w:hAnsi="Arial" w:cs="Arial"/>
                <w:bCs/>
              </w:rPr>
              <w:t>3</w:t>
            </w:r>
            <w:r w:rsidR="00F72F06">
              <w:rPr>
                <w:rFonts w:ascii="Arial" w:hAnsi="Arial" w:cs="Arial"/>
                <w:bCs/>
              </w:rPr>
              <w:t xml:space="preserve"> </w:t>
            </w:r>
            <w:r w:rsidRPr="00B55D1C">
              <w:rPr>
                <w:rFonts w:ascii="Arial" w:hAnsi="Arial" w:cs="Arial"/>
                <w:bCs/>
              </w:rPr>
              <w:t>percent</w:t>
            </w:r>
          </w:p>
          <w:p w14:paraId="52845EE4" w14:textId="77C03353"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Quebec</w:t>
            </w:r>
            <w:r w:rsidR="007E0F7F">
              <w:rPr>
                <w:rFonts w:ascii="Arial" w:hAnsi="Arial" w:cs="Arial"/>
                <w:bCs/>
                <w:sz w:val="22"/>
                <w:szCs w:val="22"/>
              </w:rPr>
              <w:t>:</w:t>
            </w:r>
            <w:r w:rsidRPr="00B55D1C">
              <w:rPr>
                <w:rFonts w:ascii="Arial" w:hAnsi="Arial" w:cs="Arial"/>
                <w:bCs/>
              </w:rPr>
              <w:t xml:space="preserve"> </w:t>
            </w:r>
            <w:r w:rsidR="008D0E26">
              <w:rPr>
                <w:rFonts w:ascii="Arial" w:hAnsi="Arial" w:cs="Arial"/>
                <w:bCs/>
              </w:rPr>
              <w:t>19</w:t>
            </w:r>
            <w:r w:rsidR="002F3D0F" w:rsidRPr="00B55D1C">
              <w:rPr>
                <w:rFonts w:ascii="Arial" w:hAnsi="Arial" w:cs="Arial"/>
                <w:bCs/>
              </w:rPr>
              <w:t xml:space="preserve"> </w:t>
            </w:r>
            <w:r w:rsidRPr="00B55D1C">
              <w:rPr>
                <w:rFonts w:ascii="Arial" w:hAnsi="Arial" w:cs="Arial"/>
                <w:bCs/>
              </w:rPr>
              <w:t>percent</w:t>
            </w:r>
          </w:p>
          <w:p w14:paraId="3B3929EB" w14:textId="667038AE"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
                <w:bCs/>
              </w:rPr>
            </w:pPr>
            <w:r w:rsidRPr="00B55D1C">
              <w:rPr>
                <w:rFonts w:ascii="Arial" w:hAnsi="Arial" w:cs="Arial"/>
                <w:bCs/>
              </w:rPr>
              <w:t>Atlantic</w:t>
            </w:r>
            <w:r w:rsidR="007E0F7F">
              <w:rPr>
                <w:rFonts w:ascii="Arial" w:hAnsi="Arial" w:cs="Arial"/>
                <w:bCs/>
                <w:sz w:val="22"/>
                <w:szCs w:val="22"/>
              </w:rPr>
              <w:t>:</w:t>
            </w:r>
            <w:r w:rsidR="007E3169" w:rsidRPr="00B55D1C">
              <w:rPr>
                <w:rFonts w:ascii="Arial" w:hAnsi="Arial" w:cs="Arial"/>
                <w:bCs/>
              </w:rPr>
              <w:t xml:space="preserve"> </w:t>
            </w:r>
            <w:r w:rsidR="008D0E26">
              <w:rPr>
                <w:rFonts w:ascii="Arial" w:hAnsi="Arial" w:cs="Arial"/>
                <w:bCs/>
              </w:rPr>
              <w:t>5</w:t>
            </w:r>
            <w:r w:rsidR="00A62CFD" w:rsidRPr="00B55D1C">
              <w:rPr>
                <w:rFonts w:ascii="Arial" w:hAnsi="Arial" w:cs="Arial"/>
                <w:bCs/>
              </w:rPr>
              <w:t xml:space="preserve"> </w:t>
            </w:r>
            <w:r w:rsidRPr="00B55D1C">
              <w:rPr>
                <w:rFonts w:ascii="Arial" w:hAnsi="Arial" w:cs="Arial"/>
                <w:bCs/>
              </w:rPr>
              <w:t>percent</w:t>
            </w:r>
          </w:p>
          <w:p w14:paraId="1B09F517" w14:textId="77777777" w:rsidR="00B52734" w:rsidRPr="00B55D1C" w:rsidRDefault="00B52734" w:rsidP="004A0343">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1440"/>
              <w:rPr>
                <w:rFonts w:ascii="Arial" w:hAnsi="Arial" w:cs="Arial"/>
                <w:b/>
                <w:bCs/>
              </w:rPr>
            </w:pPr>
          </w:p>
        </w:tc>
        <w:tc>
          <w:tcPr>
            <w:tcW w:w="6354" w:type="dxa"/>
          </w:tcPr>
          <w:p w14:paraId="680C293A" w14:textId="77777777" w:rsidR="00B52734" w:rsidRPr="00B55D1C" w:rsidRDefault="00B52734" w:rsidP="004A0343">
            <w:pPr>
              <w:numPr>
                <w:ilvl w:val="0"/>
                <w:numId w:val="1"/>
              </w:numPr>
              <w:tabs>
                <w:tab w:val="left" w:pos="36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r w:rsidRPr="00B55D1C">
              <w:rPr>
                <w:rFonts w:ascii="Arial" w:hAnsi="Arial" w:cs="Arial"/>
                <w:b/>
                <w:bCs/>
              </w:rPr>
              <w:t>By Region of Destination</w:t>
            </w:r>
          </w:p>
          <w:p w14:paraId="359686EA" w14:textId="6F7FA08D"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Western</w:t>
            </w:r>
            <w:r w:rsidR="007E0F7F">
              <w:rPr>
                <w:rFonts w:ascii="Arial" w:hAnsi="Arial" w:cs="Arial"/>
                <w:bCs/>
                <w:sz w:val="22"/>
                <w:szCs w:val="22"/>
              </w:rPr>
              <w:t>:</w:t>
            </w:r>
            <w:r w:rsidRPr="00B55D1C">
              <w:rPr>
                <w:rFonts w:ascii="Arial" w:hAnsi="Arial" w:cs="Arial"/>
                <w:bCs/>
              </w:rPr>
              <w:t xml:space="preserve"> </w:t>
            </w:r>
            <w:r w:rsidR="008D0E26">
              <w:rPr>
                <w:rFonts w:ascii="Arial" w:hAnsi="Arial" w:cs="Arial"/>
                <w:bCs/>
              </w:rPr>
              <w:t>35</w:t>
            </w:r>
            <w:r w:rsidR="00887F9F">
              <w:rPr>
                <w:rFonts w:ascii="Arial" w:hAnsi="Arial" w:cs="Arial"/>
                <w:bCs/>
              </w:rPr>
              <w:t xml:space="preserve"> </w:t>
            </w:r>
            <w:r w:rsidRPr="00B55D1C">
              <w:rPr>
                <w:rFonts w:ascii="Arial" w:hAnsi="Arial" w:cs="Arial"/>
                <w:bCs/>
              </w:rPr>
              <w:t>percent</w:t>
            </w:r>
          </w:p>
          <w:p w14:paraId="6AC2879C" w14:textId="57F4907B"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Ontario</w:t>
            </w:r>
            <w:r w:rsidR="007E0F7F">
              <w:rPr>
                <w:rFonts w:ascii="Arial" w:hAnsi="Arial" w:cs="Arial"/>
                <w:bCs/>
                <w:sz w:val="22"/>
                <w:szCs w:val="22"/>
              </w:rPr>
              <w:t>:</w:t>
            </w:r>
            <w:r w:rsidRPr="00B55D1C">
              <w:rPr>
                <w:rFonts w:ascii="Arial" w:hAnsi="Arial" w:cs="Arial"/>
                <w:bCs/>
              </w:rPr>
              <w:t xml:space="preserve"> </w:t>
            </w:r>
            <w:r w:rsidR="008D0E26">
              <w:rPr>
                <w:rFonts w:ascii="Arial" w:hAnsi="Arial" w:cs="Arial"/>
                <w:bCs/>
              </w:rPr>
              <w:t>40</w:t>
            </w:r>
            <w:r w:rsidR="00A62CFD" w:rsidRPr="00B55D1C">
              <w:rPr>
                <w:rFonts w:ascii="Arial" w:hAnsi="Arial" w:cs="Arial"/>
                <w:bCs/>
              </w:rPr>
              <w:t xml:space="preserve"> </w:t>
            </w:r>
            <w:r w:rsidRPr="00B55D1C">
              <w:rPr>
                <w:rFonts w:ascii="Arial" w:hAnsi="Arial" w:cs="Arial"/>
                <w:bCs/>
              </w:rPr>
              <w:t>percent</w:t>
            </w:r>
          </w:p>
          <w:p w14:paraId="43D96C40"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Quebec</w:t>
            </w:r>
            <w:r w:rsidR="007E0F7F">
              <w:rPr>
                <w:rFonts w:ascii="Arial" w:hAnsi="Arial" w:cs="Arial"/>
                <w:bCs/>
                <w:sz w:val="22"/>
                <w:szCs w:val="22"/>
              </w:rPr>
              <w:t>:</w:t>
            </w:r>
            <w:r w:rsidRPr="00B55D1C">
              <w:rPr>
                <w:rFonts w:ascii="Arial" w:hAnsi="Arial" w:cs="Arial"/>
                <w:bCs/>
              </w:rPr>
              <w:t xml:space="preserve"> </w:t>
            </w:r>
            <w:r w:rsidR="002F3D0F" w:rsidRPr="00B55D1C">
              <w:rPr>
                <w:rFonts w:ascii="Arial" w:hAnsi="Arial" w:cs="Arial"/>
                <w:bCs/>
              </w:rPr>
              <w:t>2</w:t>
            </w:r>
            <w:r w:rsidR="00887F9F">
              <w:rPr>
                <w:rFonts w:ascii="Arial" w:hAnsi="Arial" w:cs="Arial"/>
                <w:bCs/>
              </w:rPr>
              <w:t>1</w:t>
            </w:r>
            <w:r w:rsidRPr="00B55D1C">
              <w:rPr>
                <w:rFonts w:ascii="Arial" w:hAnsi="Arial" w:cs="Arial"/>
                <w:bCs/>
              </w:rPr>
              <w:t xml:space="preserve"> percent </w:t>
            </w:r>
          </w:p>
          <w:p w14:paraId="071AA167" w14:textId="77777777" w:rsidR="00B52734" w:rsidRPr="00B55D1C" w:rsidRDefault="00B52734" w:rsidP="004165D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bCs/>
              </w:rPr>
            </w:pPr>
            <w:r w:rsidRPr="00B55D1C">
              <w:rPr>
                <w:rFonts w:ascii="Arial" w:hAnsi="Arial" w:cs="Arial"/>
                <w:bCs/>
              </w:rPr>
              <w:t>Atlantic</w:t>
            </w:r>
            <w:r w:rsidR="007E0F7F">
              <w:rPr>
                <w:rFonts w:ascii="Arial" w:hAnsi="Arial" w:cs="Arial"/>
                <w:bCs/>
                <w:sz w:val="22"/>
                <w:szCs w:val="22"/>
              </w:rPr>
              <w:t>:</w:t>
            </w:r>
            <w:r w:rsidRPr="00B55D1C">
              <w:rPr>
                <w:rFonts w:ascii="Arial" w:hAnsi="Arial" w:cs="Arial"/>
                <w:bCs/>
              </w:rPr>
              <w:t xml:space="preserve"> </w:t>
            </w:r>
            <w:r w:rsidR="00BD4F0E">
              <w:rPr>
                <w:rFonts w:ascii="Arial" w:hAnsi="Arial" w:cs="Arial"/>
                <w:bCs/>
              </w:rPr>
              <w:t>4</w:t>
            </w:r>
            <w:r w:rsidR="000C0541" w:rsidRPr="00B55D1C">
              <w:rPr>
                <w:rFonts w:ascii="Arial" w:hAnsi="Arial" w:cs="Arial"/>
                <w:bCs/>
              </w:rPr>
              <w:t xml:space="preserve"> </w:t>
            </w:r>
            <w:r w:rsidRPr="00B55D1C">
              <w:rPr>
                <w:rFonts w:ascii="Arial" w:hAnsi="Arial" w:cs="Arial"/>
                <w:bCs/>
              </w:rPr>
              <w:t>percent</w:t>
            </w:r>
          </w:p>
          <w:p w14:paraId="23AEB134" w14:textId="77777777" w:rsidR="00B52734" w:rsidRPr="00B55D1C" w:rsidRDefault="00B52734" w:rsidP="00CF44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tc>
      </w:tr>
    </w:tbl>
    <w:p w14:paraId="0C60B56C" w14:textId="77777777" w:rsidR="00864FB1" w:rsidRPr="00B55D1C" w:rsidRDefault="00864FB1" w:rsidP="00111908">
      <w:pPr>
        <w:rPr>
          <w:rFonts w:ascii="Arial" w:hAnsi="Arial" w:cs="Arial"/>
          <w:b/>
          <w:bCs/>
          <w:sz w:val="22"/>
          <w:szCs w:val="22"/>
        </w:rPr>
      </w:pPr>
    </w:p>
    <w:p w14:paraId="751CA1E9" w14:textId="1B3501F8" w:rsidR="00DF4795" w:rsidRPr="00B55D1C" w:rsidRDefault="00CF4448" w:rsidP="00B32061">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sz w:val="22"/>
          <w:szCs w:val="22"/>
        </w:rPr>
      </w:pPr>
      <w:r w:rsidRPr="00B55D1C">
        <w:rPr>
          <w:rFonts w:ascii="Arial" w:hAnsi="Arial" w:cs="Arial"/>
          <w:b/>
          <w:bCs/>
          <w:sz w:val="22"/>
          <w:szCs w:val="22"/>
        </w:rPr>
        <w:t xml:space="preserve">Equipment Breakdown: </w:t>
      </w:r>
      <w:r w:rsidRPr="00B55D1C">
        <w:rPr>
          <w:rFonts w:ascii="Arial" w:hAnsi="Arial" w:cs="Arial"/>
          <w:sz w:val="22"/>
          <w:szCs w:val="22"/>
        </w:rPr>
        <w:t>The top equipment postings</w:t>
      </w:r>
      <w:r w:rsidR="00817A5C" w:rsidRPr="00B55D1C">
        <w:rPr>
          <w:rFonts w:ascii="Arial" w:hAnsi="Arial" w:cs="Arial"/>
          <w:sz w:val="22"/>
          <w:szCs w:val="22"/>
        </w:rPr>
        <w:t xml:space="preserve"> </w:t>
      </w:r>
      <w:r w:rsidR="00504AF4" w:rsidRPr="00B55D1C">
        <w:rPr>
          <w:rFonts w:ascii="Arial" w:hAnsi="Arial" w:cs="Arial"/>
          <w:sz w:val="22"/>
          <w:szCs w:val="22"/>
        </w:rPr>
        <w:t>were</w:t>
      </w:r>
      <w:r w:rsidRPr="00B55D1C">
        <w:rPr>
          <w:rFonts w:ascii="Arial" w:hAnsi="Arial" w:cs="Arial"/>
          <w:b/>
          <w:bCs/>
          <w:sz w:val="22"/>
          <w:szCs w:val="22"/>
        </w:rPr>
        <w:t xml:space="preserve"> </w:t>
      </w:r>
      <w:r w:rsidRPr="00B55D1C">
        <w:rPr>
          <w:rFonts w:ascii="Arial" w:hAnsi="Arial" w:cs="Arial"/>
          <w:bCs/>
          <w:sz w:val="22"/>
          <w:szCs w:val="22"/>
        </w:rPr>
        <w:t xml:space="preserve">Dry Vans </w:t>
      </w:r>
      <w:r w:rsidR="00933A4A" w:rsidRPr="00B55D1C">
        <w:rPr>
          <w:rFonts w:ascii="Arial" w:hAnsi="Arial" w:cs="Arial"/>
          <w:bCs/>
          <w:sz w:val="22"/>
          <w:szCs w:val="22"/>
        </w:rPr>
        <w:t>5</w:t>
      </w:r>
      <w:r w:rsidR="008D0E26">
        <w:rPr>
          <w:rFonts w:ascii="Arial" w:hAnsi="Arial" w:cs="Arial"/>
          <w:bCs/>
          <w:sz w:val="22"/>
          <w:szCs w:val="22"/>
        </w:rPr>
        <w:t>3</w:t>
      </w:r>
      <w:r w:rsidR="00933A4A"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xml:space="preserve">, </w:t>
      </w:r>
      <w:r w:rsidRPr="00B55D1C">
        <w:rPr>
          <w:rFonts w:ascii="Arial" w:hAnsi="Arial" w:cs="Arial"/>
          <w:bCs/>
          <w:sz w:val="22"/>
          <w:szCs w:val="22"/>
        </w:rPr>
        <w:t xml:space="preserve">Reefers </w:t>
      </w:r>
      <w:r w:rsidR="008D0E26">
        <w:rPr>
          <w:rFonts w:ascii="Arial" w:hAnsi="Arial" w:cs="Arial"/>
          <w:bCs/>
          <w:sz w:val="22"/>
          <w:szCs w:val="22"/>
        </w:rPr>
        <w:t>25</w:t>
      </w:r>
      <w:r w:rsidR="00887F9F"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xml:space="preserve">, </w:t>
      </w:r>
      <w:r w:rsidRPr="00B55D1C">
        <w:rPr>
          <w:rFonts w:ascii="Arial" w:hAnsi="Arial" w:cs="Arial"/>
          <w:bCs/>
          <w:sz w:val="22"/>
          <w:szCs w:val="22"/>
        </w:rPr>
        <w:t xml:space="preserve">Flatbed </w:t>
      </w:r>
      <w:r w:rsidR="008D0E26">
        <w:rPr>
          <w:rFonts w:ascii="Arial" w:hAnsi="Arial" w:cs="Arial"/>
          <w:bCs/>
          <w:sz w:val="22"/>
          <w:szCs w:val="22"/>
        </w:rPr>
        <w:t>17</w:t>
      </w:r>
      <w:r w:rsidR="00D161FC" w:rsidRPr="00B55D1C">
        <w:rPr>
          <w:rFonts w:ascii="Arial" w:hAnsi="Arial" w:cs="Arial"/>
          <w:bCs/>
          <w:sz w:val="22"/>
          <w:szCs w:val="22"/>
        </w:rPr>
        <w:t xml:space="preserve"> </w:t>
      </w:r>
      <w:r w:rsidRPr="00B55D1C">
        <w:rPr>
          <w:rFonts w:ascii="Arial" w:hAnsi="Arial" w:cs="Arial"/>
          <w:bCs/>
          <w:sz w:val="22"/>
          <w:szCs w:val="22"/>
        </w:rPr>
        <w:t>percent</w:t>
      </w:r>
      <w:r w:rsidR="00817A5C" w:rsidRPr="00B55D1C">
        <w:rPr>
          <w:rFonts w:ascii="Arial" w:hAnsi="Arial" w:cs="Arial"/>
          <w:bCs/>
          <w:sz w:val="22"/>
          <w:szCs w:val="22"/>
        </w:rPr>
        <w:t>, and O</w:t>
      </w:r>
      <w:r w:rsidRPr="00B55D1C">
        <w:rPr>
          <w:rFonts w:ascii="Arial" w:hAnsi="Arial" w:cs="Arial"/>
          <w:bCs/>
          <w:sz w:val="22"/>
          <w:szCs w:val="22"/>
        </w:rPr>
        <w:t xml:space="preserve">ther </w:t>
      </w:r>
      <w:r w:rsidR="008D0E26">
        <w:rPr>
          <w:rFonts w:ascii="Arial" w:hAnsi="Arial" w:cs="Arial"/>
          <w:bCs/>
          <w:sz w:val="22"/>
          <w:szCs w:val="22"/>
        </w:rPr>
        <w:t>5</w:t>
      </w:r>
      <w:r w:rsidR="00887F9F" w:rsidRPr="00B55D1C">
        <w:rPr>
          <w:rFonts w:ascii="Arial" w:hAnsi="Arial" w:cs="Arial"/>
          <w:bCs/>
          <w:sz w:val="22"/>
          <w:szCs w:val="22"/>
        </w:rPr>
        <w:t xml:space="preserve"> </w:t>
      </w:r>
      <w:r w:rsidRPr="00B55D1C">
        <w:rPr>
          <w:rFonts w:ascii="Arial" w:hAnsi="Arial" w:cs="Arial"/>
          <w:bCs/>
          <w:sz w:val="22"/>
          <w:szCs w:val="22"/>
        </w:rPr>
        <w:t>percent</w:t>
      </w:r>
      <w:r w:rsidR="00727EB2" w:rsidRPr="00B55D1C">
        <w:rPr>
          <w:rFonts w:ascii="Arial" w:hAnsi="Arial" w:cs="Arial"/>
          <w:bCs/>
          <w:sz w:val="22"/>
          <w:szCs w:val="22"/>
        </w:rPr>
        <w:t>.</w:t>
      </w:r>
    </w:p>
    <w:p w14:paraId="667C51E4" w14:textId="77777777" w:rsidR="000208BB" w:rsidRDefault="000208BB">
      <w:pPr>
        <w:spacing w:after="200" w:line="276" w:lineRule="auto"/>
        <w:rPr>
          <w:rFonts w:ascii="Arial" w:hAnsi="Arial" w:cs="Arial"/>
          <w:bCs/>
          <w:sz w:val="22"/>
          <w:szCs w:val="22"/>
        </w:rPr>
      </w:pPr>
    </w:p>
    <w:p w14:paraId="37AADC6D" w14:textId="77777777" w:rsidR="008D0E26" w:rsidRDefault="008D0E26" w:rsidP="008D0E2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Calibri" w:hAnsi="Calibri" w:cs="Calibri"/>
          <w:b/>
          <w:bCs/>
          <w:color w:val="000000"/>
          <w:sz w:val="22"/>
          <w:szCs w:val="22"/>
          <w:lang w:val="en-CA" w:eastAsia="en-CA"/>
        </w:rPr>
      </w:pPr>
    </w:p>
    <w:p w14:paraId="30D712AC" w14:textId="77777777" w:rsidR="008D0E26" w:rsidRDefault="008D0E26" w:rsidP="008D0E26">
      <w:pPr>
        <w:jc w:val="center"/>
      </w:pPr>
      <w:r w:rsidRPr="00FA3821">
        <w:rPr>
          <w:rFonts w:ascii="Calibri" w:hAnsi="Calibri" w:cs="Calibri"/>
          <w:b/>
          <w:bCs/>
          <w:color w:val="000000"/>
          <w:sz w:val="22"/>
          <w:szCs w:val="22"/>
          <w:lang w:val="en-CA" w:eastAsia="en-CA"/>
        </w:rPr>
        <w:t>TransCore Canadian Spot Market Freight Index 20</w:t>
      </w:r>
      <w:r>
        <w:rPr>
          <w:rFonts w:ascii="Calibri" w:hAnsi="Calibri" w:cs="Calibri"/>
          <w:b/>
          <w:bCs/>
          <w:color w:val="000000"/>
          <w:sz w:val="22"/>
          <w:szCs w:val="22"/>
          <w:lang w:val="en-CA" w:eastAsia="en-CA"/>
        </w:rPr>
        <w:t>12</w:t>
      </w:r>
      <w:r w:rsidRPr="00FA3821">
        <w:rPr>
          <w:rFonts w:ascii="Calibri" w:hAnsi="Calibri" w:cs="Calibri"/>
          <w:b/>
          <w:bCs/>
          <w:color w:val="000000"/>
          <w:sz w:val="22"/>
          <w:szCs w:val="22"/>
          <w:lang w:val="en-CA" w:eastAsia="en-CA"/>
        </w:rPr>
        <w:t>-201</w:t>
      </w:r>
      <w:r>
        <w:rPr>
          <w:rFonts w:ascii="Calibri" w:hAnsi="Calibri" w:cs="Calibri"/>
          <w:b/>
          <w:bCs/>
          <w:color w:val="000000"/>
          <w:sz w:val="22"/>
          <w:szCs w:val="22"/>
          <w:lang w:val="en-CA" w:eastAsia="en-CA"/>
        </w:rPr>
        <w:t>8</w:t>
      </w:r>
    </w:p>
    <w:tbl>
      <w:tblPr>
        <w:tblW w:w="7630" w:type="dxa"/>
        <w:jc w:val="center"/>
        <w:tblLayout w:type="fixed"/>
        <w:tblLook w:val="04A0" w:firstRow="1" w:lastRow="0" w:firstColumn="1" w:lastColumn="0" w:noHBand="0" w:noVBand="1"/>
      </w:tblPr>
      <w:tblGrid>
        <w:gridCol w:w="762"/>
        <w:gridCol w:w="720"/>
        <w:gridCol w:w="720"/>
        <w:gridCol w:w="720"/>
        <w:gridCol w:w="720"/>
        <w:gridCol w:w="720"/>
        <w:gridCol w:w="663"/>
        <w:gridCol w:w="720"/>
        <w:gridCol w:w="942"/>
        <w:gridCol w:w="943"/>
      </w:tblGrid>
      <w:tr w:rsidR="008D0E26" w:rsidRPr="00FA3821" w14:paraId="59CD009F" w14:textId="77777777" w:rsidTr="00B53F87">
        <w:trPr>
          <w:trHeight w:val="1020"/>
          <w:jc w:val="center"/>
        </w:trPr>
        <w:tc>
          <w:tcPr>
            <w:tcW w:w="7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F4187E" w14:textId="77777777" w:rsidR="008D0E26" w:rsidRPr="00057861" w:rsidRDefault="008D0E26" w:rsidP="00B53F87">
            <w:pPr>
              <w:jc w:val="center"/>
              <w:rPr>
                <w:rFonts w:asciiTheme="minorHAnsi" w:hAnsiTheme="minorHAnsi" w:cs="Calibri"/>
                <w:color w:val="000000"/>
                <w:lang w:val="en-CA" w:eastAsia="en-CA"/>
              </w:rPr>
            </w:pP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405C629B"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2012</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333F9D11"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2013</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2A7956F7"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0C0A07A4"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77D3E41C" w14:textId="77777777" w:rsidR="008D0E26" w:rsidRPr="001E767F" w:rsidRDefault="008D0E26" w:rsidP="00B53F87">
            <w:pPr>
              <w:jc w:val="center"/>
              <w:rPr>
                <w:rFonts w:asciiTheme="minorHAnsi" w:hAnsiTheme="minorHAnsi"/>
              </w:rPr>
            </w:pPr>
            <w:r w:rsidRPr="001E767F">
              <w:rPr>
                <w:rFonts w:ascii="Calibri" w:hAnsi="Calibri" w:cs="Calibri"/>
                <w:bCs/>
                <w:color w:val="000000"/>
                <w:sz w:val="22"/>
                <w:szCs w:val="22"/>
              </w:rPr>
              <w:t>2016</w:t>
            </w:r>
          </w:p>
        </w:tc>
        <w:tc>
          <w:tcPr>
            <w:tcW w:w="663" w:type="dxa"/>
            <w:tcBorders>
              <w:top w:val="single" w:sz="4" w:space="0" w:color="auto"/>
              <w:left w:val="nil"/>
              <w:bottom w:val="single" w:sz="4" w:space="0" w:color="auto"/>
              <w:right w:val="single" w:sz="4" w:space="0" w:color="auto"/>
            </w:tcBorders>
            <w:shd w:val="clear" w:color="000000" w:fill="FFFF00"/>
            <w:vAlign w:val="center"/>
          </w:tcPr>
          <w:p w14:paraId="16E2F598" w14:textId="77777777" w:rsidR="008D0E26" w:rsidRPr="001E767F" w:rsidRDefault="008D0E26" w:rsidP="00B53F87">
            <w:pPr>
              <w:jc w:val="center"/>
              <w:rPr>
                <w:rFonts w:asciiTheme="minorHAnsi" w:hAnsiTheme="minorHAnsi"/>
              </w:rPr>
            </w:pPr>
            <w:r w:rsidRPr="001E767F">
              <w:rPr>
                <w:rFonts w:ascii="Calibri" w:hAnsi="Calibri" w:cs="Calibri"/>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tcPr>
          <w:p w14:paraId="1BF47F98" w14:textId="77777777" w:rsidR="008D0E26" w:rsidRPr="001E767F" w:rsidRDefault="008D0E26" w:rsidP="00B53F87">
            <w:pPr>
              <w:jc w:val="center"/>
              <w:rPr>
                <w:rFonts w:asciiTheme="minorHAnsi" w:hAnsiTheme="minorHAnsi"/>
              </w:rPr>
            </w:pPr>
            <w:r w:rsidRPr="001E767F">
              <w:rPr>
                <w:rFonts w:ascii="Calibri" w:hAnsi="Calibri" w:cs="Calibri"/>
                <w:bCs/>
                <w:color w:val="000000"/>
                <w:sz w:val="22"/>
                <w:szCs w:val="22"/>
              </w:rPr>
              <w:t>2018</w:t>
            </w:r>
          </w:p>
        </w:tc>
        <w:tc>
          <w:tcPr>
            <w:tcW w:w="942"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DCFA69D" w14:textId="77777777" w:rsidR="008D0E26" w:rsidRPr="00C075FB" w:rsidRDefault="008D0E26" w:rsidP="00B53F87">
            <w:pPr>
              <w:jc w:val="center"/>
              <w:rPr>
                <w:rFonts w:asciiTheme="minorHAnsi" w:hAnsiTheme="minorHAnsi"/>
              </w:rPr>
            </w:pPr>
            <w:r w:rsidRPr="00C075FB">
              <w:rPr>
                <w:rFonts w:asciiTheme="minorHAnsi" w:hAnsiTheme="minorHAnsi"/>
                <w:sz w:val="22"/>
                <w:szCs w:val="22"/>
              </w:rPr>
              <w:t>Percent Change Y-O-Y</w:t>
            </w:r>
          </w:p>
        </w:tc>
        <w:tc>
          <w:tcPr>
            <w:tcW w:w="943" w:type="dxa"/>
            <w:tcBorders>
              <w:top w:val="single" w:sz="4" w:space="0" w:color="auto"/>
              <w:left w:val="nil"/>
              <w:bottom w:val="single" w:sz="4" w:space="0" w:color="auto"/>
              <w:right w:val="single" w:sz="4" w:space="0" w:color="auto"/>
            </w:tcBorders>
            <w:shd w:val="clear" w:color="000000" w:fill="FFFF00"/>
            <w:vAlign w:val="center"/>
            <w:hideMark/>
          </w:tcPr>
          <w:p w14:paraId="723797F2" w14:textId="77777777" w:rsidR="008D0E26" w:rsidRPr="003562D1" w:rsidRDefault="008D0E26" w:rsidP="00B53F87">
            <w:pPr>
              <w:jc w:val="center"/>
              <w:rPr>
                <w:rFonts w:asciiTheme="minorHAnsi" w:hAnsiTheme="minorHAnsi"/>
              </w:rPr>
            </w:pPr>
            <w:r w:rsidRPr="00057861">
              <w:rPr>
                <w:rFonts w:asciiTheme="minorHAnsi" w:hAnsiTheme="minorHAnsi"/>
                <w:sz w:val="22"/>
                <w:szCs w:val="22"/>
              </w:rPr>
              <w:t>Percent Change M-O-M</w:t>
            </w:r>
          </w:p>
        </w:tc>
      </w:tr>
      <w:tr w:rsidR="008D0E26" w:rsidRPr="00744555" w14:paraId="5763F4C3"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89DA835"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Jan</w:t>
            </w:r>
          </w:p>
        </w:tc>
        <w:tc>
          <w:tcPr>
            <w:tcW w:w="720" w:type="dxa"/>
            <w:tcBorders>
              <w:top w:val="nil"/>
              <w:left w:val="nil"/>
              <w:bottom w:val="single" w:sz="4" w:space="0" w:color="auto"/>
              <w:right w:val="single" w:sz="4" w:space="0" w:color="auto"/>
            </w:tcBorders>
            <w:shd w:val="clear" w:color="auto" w:fill="auto"/>
            <w:noWrap/>
            <w:vAlign w:val="bottom"/>
            <w:hideMark/>
          </w:tcPr>
          <w:p w14:paraId="434AC7EE"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220</w:t>
            </w:r>
          </w:p>
        </w:tc>
        <w:tc>
          <w:tcPr>
            <w:tcW w:w="720" w:type="dxa"/>
            <w:tcBorders>
              <w:top w:val="nil"/>
              <w:left w:val="nil"/>
              <w:bottom w:val="single" w:sz="4" w:space="0" w:color="auto"/>
              <w:right w:val="single" w:sz="4" w:space="0" w:color="auto"/>
            </w:tcBorders>
            <w:shd w:val="clear" w:color="auto" w:fill="auto"/>
            <w:noWrap/>
            <w:vAlign w:val="bottom"/>
            <w:hideMark/>
          </w:tcPr>
          <w:p w14:paraId="26E4C4A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228</w:t>
            </w:r>
          </w:p>
        </w:tc>
        <w:tc>
          <w:tcPr>
            <w:tcW w:w="720" w:type="dxa"/>
            <w:tcBorders>
              <w:top w:val="nil"/>
              <w:left w:val="nil"/>
              <w:bottom w:val="single" w:sz="4" w:space="0" w:color="auto"/>
              <w:right w:val="single" w:sz="4" w:space="0" w:color="auto"/>
            </w:tcBorders>
            <w:shd w:val="clear" w:color="auto" w:fill="auto"/>
            <w:noWrap/>
            <w:vAlign w:val="bottom"/>
            <w:hideMark/>
          </w:tcPr>
          <w:p w14:paraId="3159610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335</w:t>
            </w:r>
          </w:p>
        </w:tc>
        <w:tc>
          <w:tcPr>
            <w:tcW w:w="720" w:type="dxa"/>
            <w:tcBorders>
              <w:top w:val="nil"/>
              <w:left w:val="nil"/>
              <w:bottom w:val="single" w:sz="4" w:space="0" w:color="auto"/>
              <w:right w:val="single" w:sz="4" w:space="0" w:color="auto"/>
            </w:tcBorders>
            <w:shd w:val="clear" w:color="auto" w:fill="auto"/>
            <w:noWrap/>
            <w:vAlign w:val="bottom"/>
            <w:hideMark/>
          </w:tcPr>
          <w:p w14:paraId="4CEB6CD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275</w:t>
            </w:r>
          </w:p>
        </w:tc>
        <w:tc>
          <w:tcPr>
            <w:tcW w:w="720" w:type="dxa"/>
            <w:tcBorders>
              <w:top w:val="nil"/>
              <w:left w:val="nil"/>
              <w:bottom w:val="single" w:sz="4" w:space="0" w:color="auto"/>
              <w:right w:val="single" w:sz="4" w:space="0" w:color="auto"/>
            </w:tcBorders>
            <w:shd w:val="clear" w:color="auto" w:fill="auto"/>
            <w:noWrap/>
            <w:vAlign w:val="bottom"/>
            <w:hideMark/>
          </w:tcPr>
          <w:p w14:paraId="7EBBF34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199</w:t>
            </w:r>
          </w:p>
        </w:tc>
        <w:tc>
          <w:tcPr>
            <w:tcW w:w="663" w:type="dxa"/>
            <w:tcBorders>
              <w:top w:val="single" w:sz="4" w:space="0" w:color="auto"/>
              <w:left w:val="nil"/>
              <w:bottom w:val="single" w:sz="4" w:space="0" w:color="auto"/>
              <w:right w:val="single" w:sz="4" w:space="0" w:color="auto"/>
            </w:tcBorders>
            <w:vAlign w:val="bottom"/>
          </w:tcPr>
          <w:p w14:paraId="0B72112B"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284</w:t>
            </w:r>
          </w:p>
        </w:tc>
        <w:tc>
          <w:tcPr>
            <w:tcW w:w="720" w:type="dxa"/>
            <w:tcBorders>
              <w:top w:val="single" w:sz="4" w:space="0" w:color="auto"/>
              <w:left w:val="single" w:sz="4" w:space="0" w:color="auto"/>
              <w:bottom w:val="single" w:sz="4" w:space="0" w:color="auto"/>
              <w:right w:val="single" w:sz="4" w:space="0" w:color="auto"/>
            </w:tcBorders>
            <w:vAlign w:val="center"/>
          </w:tcPr>
          <w:p w14:paraId="32094EA7"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hAnsiTheme="minorHAnsi" w:cs="Calibri"/>
                <w:color w:val="000000"/>
                <w:sz w:val="22"/>
                <w:szCs w:val="22"/>
              </w:rPr>
              <w:t>514</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B20B4"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hAnsiTheme="minorHAnsi" w:cs="Calibri"/>
                <w:color w:val="000000"/>
                <w:sz w:val="22"/>
                <w:szCs w:val="22"/>
              </w:rPr>
              <w:t>81%</w:t>
            </w:r>
          </w:p>
        </w:tc>
        <w:tc>
          <w:tcPr>
            <w:tcW w:w="943" w:type="dxa"/>
            <w:tcBorders>
              <w:top w:val="nil"/>
              <w:left w:val="nil"/>
              <w:bottom w:val="single" w:sz="4" w:space="0" w:color="auto"/>
              <w:right w:val="single" w:sz="4" w:space="0" w:color="auto"/>
            </w:tcBorders>
            <w:shd w:val="clear" w:color="auto" w:fill="auto"/>
            <w:noWrap/>
            <w:vAlign w:val="center"/>
            <w:hideMark/>
          </w:tcPr>
          <w:p w14:paraId="6DC27088"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hAnsiTheme="minorHAnsi" w:cs="Calibri"/>
                <w:color w:val="000000"/>
                <w:sz w:val="22"/>
                <w:szCs w:val="22"/>
              </w:rPr>
              <w:t>41%</w:t>
            </w:r>
          </w:p>
        </w:tc>
      </w:tr>
      <w:tr w:rsidR="008D0E26" w:rsidRPr="00744555" w14:paraId="1D1BDBE5"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0B1B149"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Feb</w:t>
            </w:r>
          </w:p>
        </w:tc>
        <w:tc>
          <w:tcPr>
            <w:tcW w:w="720" w:type="dxa"/>
            <w:tcBorders>
              <w:top w:val="nil"/>
              <w:left w:val="nil"/>
              <w:bottom w:val="single" w:sz="4" w:space="0" w:color="auto"/>
              <w:right w:val="single" w:sz="4" w:space="0" w:color="auto"/>
            </w:tcBorders>
            <w:shd w:val="clear" w:color="auto" w:fill="auto"/>
            <w:noWrap/>
            <w:vAlign w:val="bottom"/>
            <w:hideMark/>
          </w:tcPr>
          <w:p w14:paraId="2BEB0C32"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222</w:t>
            </w:r>
          </w:p>
        </w:tc>
        <w:tc>
          <w:tcPr>
            <w:tcW w:w="720" w:type="dxa"/>
            <w:tcBorders>
              <w:top w:val="nil"/>
              <w:left w:val="nil"/>
              <w:bottom w:val="single" w:sz="4" w:space="0" w:color="auto"/>
              <w:right w:val="single" w:sz="4" w:space="0" w:color="auto"/>
            </w:tcBorders>
            <w:shd w:val="clear" w:color="auto" w:fill="auto"/>
            <w:noWrap/>
            <w:vAlign w:val="bottom"/>
            <w:hideMark/>
          </w:tcPr>
          <w:p w14:paraId="733FA95C"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198</w:t>
            </w:r>
          </w:p>
        </w:tc>
        <w:tc>
          <w:tcPr>
            <w:tcW w:w="720" w:type="dxa"/>
            <w:tcBorders>
              <w:top w:val="nil"/>
              <w:left w:val="nil"/>
              <w:bottom w:val="single" w:sz="4" w:space="0" w:color="auto"/>
              <w:right w:val="single" w:sz="4" w:space="0" w:color="auto"/>
            </w:tcBorders>
            <w:shd w:val="clear" w:color="auto" w:fill="auto"/>
            <w:noWrap/>
            <w:vAlign w:val="bottom"/>
            <w:hideMark/>
          </w:tcPr>
          <w:p w14:paraId="6C512E6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318</w:t>
            </w:r>
          </w:p>
        </w:tc>
        <w:tc>
          <w:tcPr>
            <w:tcW w:w="720" w:type="dxa"/>
            <w:tcBorders>
              <w:top w:val="nil"/>
              <w:left w:val="nil"/>
              <w:bottom w:val="single" w:sz="4" w:space="0" w:color="auto"/>
              <w:right w:val="single" w:sz="4" w:space="0" w:color="auto"/>
            </w:tcBorders>
            <w:shd w:val="clear" w:color="auto" w:fill="auto"/>
            <w:noWrap/>
            <w:vAlign w:val="bottom"/>
            <w:hideMark/>
          </w:tcPr>
          <w:p w14:paraId="016DE23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253</w:t>
            </w:r>
          </w:p>
        </w:tc>
        <w:tc>
          <w:tcPr>
            <w:tcW w:w="720" w:type="dxa"/>
            <w:tcBorders>
              <w:top w:val="nil"/>
              <w:left w:val="nil"/>
              <w:bottom w:val="single" w:sz="4" w:space="0" w:color="auto"/>
              <w:right w:val="single" w:sz="4" w:space="0" w:color="auto"/>
            </w:tcBorders>
            <w:shd w:val="clear" w:color="auto" w:fill="auto"/>
            <w:noWrap/>
            <w:vAlign w:val="bottom"/>
            <w:hideMark/>
          </w:tcPr>
          <w:p w14:paraId="6F8B0AE6" w14:textId="77777777" w:rsidR="008D0E26" w:rsidRPr="00EA74F9" w:rsidRDefault="008D0E26" w:rsidP="00B53F87">
            <w:pPr>
              <w:jc w:val="right"/>
              <w:rPr>
                <w:rFonts w:asciiTheme="minorHAnsi" w:hAnsiTheme="minorHAnsi"/>
              </w:rPr>
            </w:pPr>
            <w:r>
              <w:rPr>
                <w:rFonts w:ascii="Calibri" w:hAnsi="Calibri" w:cs="Calibri"/>
                <w:color w:val="000000"/>
                <w:sz w:val="22"/>
                <w:szCs w:val="22"/>
              </w:rPr>
              <w:t>201</w:t>
            </w:r>
          </w:p>
        </w:tc>
        <w:tc>
          <w:tcPr>
            <w:tcW w:w="663" w:type="dxa"/>
            <w:tcBorders>
              <w:top w:val="single" w:sz="4" w:space="0" w:color="auto"/>
              <w:left w:val="nil"/>
              <w:bottom w:val="single" w:sz="4" w:space="0" w:color="auto"/>
              <w:right w:val="single" w:sz="4" w:space="0" w:color="auto"/>
            </w:tcBorders>
            <w:shd w:val="clear" w:color="auto" w:fill="auto"/>
            <w:vAlign w:val="bottom"/>
          </w:tcPr>
          <w:p w14:paraId="442E13FD"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269</w:t>
            </w:r>
          </w:p>
        </w:tc>
        <w:tc>
          <w:tcPr>
            <w:tcW w:w="720" w:type="dxa"/>
            <w:tcBorders>
              <w:top w:val="single" w:sz="4" w:space="0" w:color="auto"/>
              <w:left w:val="single" w:sz="4" w:space="0" w:color="auto"/>
              <w:bottom w:val="single" w:sz="4" w:space="0" w:color="auto"/>
              <w:right w:val="single" w:sz="4" w:space="0" w:color="auto"/>
            </w:tcBorders>
            <w:vAlign w:val="center"/>
          </w:tcPr>
          <w:p w14:paraId="36C1AEA5"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468</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55D2B2"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74%</w:t>
            </w:r>
          </w:p>
        </w:tc>
        <w:tc>
          <w:tcPr>
            <w:tcW w:w="943" w:type="dxa"/>
            <w:tcBorders>
              <w:top w:val="nil"/>
              <w:left w:val="nil"/>
              <w:bottom w:val="single" w:sz="4" w:space="0" w:color="auto"/>
              <w:right w:val="single" w:sz="4" w:space="0" w:color="auto"/>
            </w:tcBorders>
            <w:shd w:val="clear" w:color="auto" w:fill="auto"/>
            <w:noWrap/>
            <w:vAlign w:val="center"/>
          </w:tcPr>
          <w:p w14:paraId="5A80DFF0" w14:textId="77777777" w:rsidR="008D0E26" w:rsidRPr="00744555" w:rsidRDefault="008D0E26" w:rsidP="00B53F87">
            <w:pPr>
              <w:jc w:val="right"/>
              <w:rPr>
                <w:rFonts w:asciiTheme="minorHAnsi" w:hAnsiTheme="minorHAnsi" w:cs="Calibri"/>
                <w:color w:val="000000"/>
                <w:sz w:val="22"/>
                <w:szCs w:val="22"/>
              </w:rPr>
            </w:pPr>
            <w:r w:rsidRPr="00744555">
              <w:rPr>
                <w:rFonts w:asciiTheme="minorHAnsi" w:eastAsiaTheme="minorEastAsia" w:hAnsiTheme="minorHAnsi" w:cs="Calibri"/>
                <w:color w:val="000000"/>
                <w:sz w:val="22"/>
                <w:szCs w:val="22"/>
                <w:lang w:eastAsia="zh-CN"/>
              </w:rPr>
              <w:t>-9%</w:t>
            </w:r>
          </w:p>
        </w:tc>
      </w:tr>
      <w:tr w:rsidR="008D0E26" w:rsidRPr="00744555" w14:paraId="1E216A96"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50CFB4A3"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Mar</w:t>
            </w:r>
          </w:p>
        </w:tc>
        <w:tc>
          <w:tcPr>
            <w:tcW w:w="720" w:type="dxa"/>
            <w:tcBorders>
              <w:top w:val="nil"/>
              <w:left w:val="nil"/>
              <w:bottom w:val="single" w:sz="4" w:space="0" w:color="auto"/>
              <w:right w:val="single" w:sz="4" w:space="0" w:color="auto"/>
            </w:tcBorders>
            <w:shd w:val="clear" w:color="auto" w:fill="auto"/>
            <w:noWrap/>
            <w:vAlign w:val="bottom"/>
            <w:hideMark/>
          </w:tcPr>
          <w:p w14:paraId="4B519FE4"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276</w:t>
            </w:r>
          </w:p>
        </w:tc>
        <w:tc>
          <w:tcPr>
            <w:tcW w:w="720" w:type="dxa"/>
            <w:tcBorders>
              <w:top w:val="nil"/>
              <w:left w:val="nil"/>
              <w:bottom w:val="single" w:sz="4" w:space="0" w:color="auto"/>
              <w:right w:val="single" w:sz="4" w:space="0" w:color="auto"/>
            </w:tcBorders>
            <w:shd w:val="clear" w:color="auto" w:fill="auto"/>
            <w:noWrap/>
            <w:vAlign w:val="bottom"/>
            <w:hideMark/>
          </w:tcPr>
          <w:p w14:paraId="156FBD08"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245</w:t>
            </w:r>
          </w:p>
        </w:tc>
        <w:tc>
          <w:tcPr>
            <w:tcW w:w="720" w:type="dxa"/>
            <w:tcBorders>
              <w:top w:val="nil"/>
              <w:left w:val="nil"/>
              <w:bottom w:val="single" w:sz="4" w:space="0" w:color="auto"/>
              <w:right w:val="single" w:sz="4" w:space="0" w:color="auto"/>
            </w:tcBorders>
            <w:shd w:val="clear" w:color="auto" w:fill="auto"/>
            <w:noWrap/>
            <w:vAlign w:val="bottom"/>
            <w:hideMark/>
          </w:tcPr>
          <w:p w14:paraId="7AB38F2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369</w:t>
            </w:r>
          </w:p>
        </w:tc>
        <w:tc>
          <w:tcPr>
            <w:tcW w:w="720" w:type="dxa"/>
            <w:tcBorders>
              <w:top w:val="nil"/>
              <w:left w:val="nil"/>
              <w:bottom w:val="single" w:sz="4" w:space="0" w:color="auto"/>
              <w:right w:val="single" w:sz="4" w:space="0" w:color="auto"/>
            </w:tcBorders>
            <w:shd w:val="clear" w:color="auto" w:fill="auto"/>
            <w:noWrap/>
            <w:vAlign w:val="bottom"/>
            <w:hideMark/>
          </w:tcPr>
          <w:p w14:paraId="5587D4A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285</w:t>
            </w:r>
          </w:p>
        </w:tc>
        <w:tc>
          <w:tcPr>
            <w:tcW w:w="720" w:type="dxa"/>
            <w:tcBorders>
              <w:top w:val="nil"/>
              <w:left w:val="nil"/>
              <w:bottom w:val="single" w:sz="4" w:space="0" w:color="auto"/>
              <w:right w:val="single" w:sz="4" w:space="0" w:color="auto"/>
            </w:tcBorders>
            <w:shd w:val="clear" w:color="auto" w:fill="auto"/>
            <w:noWrap/>
            <w:vAlign w:val="bottom"/>
            <w:hideMark/>
          </w:tcPr>
          <w:p w14:paraId="56F63D39" w14:textId="77777777" w:rsidR="008D0E26" w:rsidRPr="008B53AD" w:rsidRDefault="008D0E26" w:rsidP="00B53F87">
            <w:pPr>
              <w:jc w:val="right"/>
              <w:rPr>
                <w:rFonts w:asciiTheme="minorHAnsi" w:hAnsiTheme="minorHAnsi"/>
              </w:rPr>
            </w:pPr>
            <w:r>
              <w:rPr>
                <w:rFonts w:ascii="Calibri" w:hAnsi="Calibri" w:cs="Calibri"/>
                <w:color w:val="000000"/>
                <w:sz w:val="22"/>
                <w:szCs w:val="22"/>
              </w:rPr>
              <w:t>236</w:t>
            </w:r>
          </w:p>
        </w:tc>
        <w:tc>
          <w:tcPr>
            <w:tcW w:w="663" w:type="dxa"/>
            <w:tcBorders>
              <w:top w:val="single" w:sz="4" w:space="0" w:color="auto"/>
              <w:left w:val="nil"/>
              <w:bottom w:val="single" w:sz="4" w:space="0" w:color="auto"/>
              <w:right w:val="single" w:sz="4" w:space="0" w:color="auto"/>
            </w:tcBorders>
            <w:shd w:val="clear" w:color="auto" w:fill="auto"/>
            <w:vAlign w:val="bottom"/>
          </w:tcPr>
          <w:p w14:paraId="3F9787C7"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357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3340AF7E" w14:textId="77777777" w:rsidR="008D0E26" w:rsidRPr="00744555" w:rsidRDefault="008D0E26" w:rsidP="00B53F87">
            <w:pPr>
              <w:jc w:val="right"/>
              <w:rPr>
                <w:rFonts w:asciiTheme="minorHAnsi" w:hAnsiTheme="minorHAnsi"/>
                <w:color w:val="000000"/>
                <w:sz w:val="22"/>
                <w:szCs w:val="22"/>
              </w:rPr>
            </w:pPr>
            <w:r>
              <w:rPr>
                <w:rFonts w:asciiTheme="minorHAnsi" w:hAnsiTheme="minorHAnsi" w:cs="Calibri"/>
                <w:color w:val="000000"/>
                <w:sz w:val="22"/>
                <w:szCs w:val="22"/>
              </w:rPr>
              <w:t>496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93237"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39%</w:t>
            </w:r>
          </w:p>
        </w:tc>
        <w:tc>
          <w:tcPr>
            <w:tcW w:w="943" w:type="dxa"/>
            <w:tcBorders>
              <w:top w:val="nil"/>
              <w:left w:val="nil"/>
              <w:bottom w:val="single" w:sz="4" w:space="0" w:color="auto"/>
              <w:right w:val="single" w:sz="4" w:space="0" w:color="auto"/>
            </w:tcBorders>
            <w:shd w:val="clear" w:color="auto" w:fill="auto"/>
            <w:noWrap/>
            <w:vAlign w:val="center"/>
          </w:tcPr>
          <w:p w14:paraId="37283FB9"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6%</w:t>
            </w:r>
          </w:p>
        </w:tc>
      </w:tr>
      <w:tr w:rsidR="008D0E26" w:rsidRPr="00744555" w14:paraId="198058A2"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302AFD2"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Apr</w:t>
            </w:r>
          </w:p>
        </w:tc>
        <w:tc>
          <w:tcPr>
            <w:tcW w:w="720" w:type="dxa"/>
            <w:tcBorders>
              <w:top w:val="nil"/>
              <w:left w:val="nil"/>
              <w:bottom w:val="single" w:sz="4" w:space="0" w:color="auto"/>
              <w:right w:val="single" w:sz="4" w:space="0" w:color="auto"/>
            </w:tcBorders>
            <w:shd w:val="clear" w:color="auto" w:fill="auto"/>
            <w:noWrap/>
            <w:vAlign w:val="bottom"/>
            <w:hideMark/>
          </w:tcPr>
          <w:p w14:paraId="191FCF0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266</w:t>
            </w:r>
          </w:p>
        </w:tc>
        <w:tc>
          <w:tcPr>
            <w:tcW w:w="720" w:type="dxa"/>
            <w:tcBorders>
              <w:top w:val="nil"/>
              <w:left w:val="nil"/>
              <w:bottom w:val="single" w:sz="4" w:space="0" w:color="auto"/>
              <w:right w:val="single" w:sz="4" w:space="0" w:color="auto"/>
            </w:tcBorders>
            <w:shd w:val="clear" w:color="auto" w:fill="auto"/>
            <w:noWrap/>
            <w:vAlign w:val="bottom"/>
            <w:hideMark/>
          </w:tcPr>
          <w:p w14:paraId="7455FAD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229</w:t>
            </w:r>
          </w:p>
        </w:tc>
        <w:tc>
          <w:tcPr>
            <w:tcW w:w="720" w:type="dxa"/>
            <w:tcBorders>
              <w:top w:val="nil"/>
              <w:left w:val="nil"/>
              <w:bottom w:val="single" w:sz="4" w:space="0" w:color="auto"/>
              <w:right w:val="single" w:sz="4" w:space="0" w:color="auto"/>
            </w:tcBorders>
            <w:shd w:val="clear" w:color="auto" w:fill="auto"/>
            <w:noWrap/>
            <w:vAlign w:val="bottom"/>
            <w:hideMark/>
          </w:tcPr>
          <w:p w14:paraId="2183E20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324</w:t>
            </w:r>
          </w:p>
        </w:tc>
        <w:tc>
          <w:tcPr>
            <w:tcW w:w="720" w:type="dxa"/>
            <w:tcBorders>
              <w:top w:val="nil"/>
              <w:left w:val="nil"/>
              <w:bottom w:val="single" w:sz="4" w:space="0" w:color="auto"/>
              <w:right w:val="single" w:sz="4" w:space="0" w:color="auto"/>
            </w:tcBorders>
            <w:shd w:val="clear" w:color="auto" w:fill="auto"/>
            <w:noWrap/>
            <w:vAlign w:val="bottom"/>
            <w:hideMark/>
          </w:tcPr>
          <w:p w14:paraId="5B8389C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249</w:t>
            </w:r>
          </w:p>
        </w:tc>
        <w:tc>
          <w:tcPr>
            <w:tcW w:w="720" w:type="dxa"/>
            <w:tcBorders>
              <w:top w:val="nil"/>
              <w:left w:val="nil"/>
              <w:bottom w:val="single" w:sz="4" w:space="0" w:color="auto"/>
              <w:right w:val="single" w:sz="4" w:space="0" w:color="auto"/>
            </w:tcBorders>
            <w:shd w:val="clear" w:color="auto" w:fill="auto"/>
            <w:noWrap/>
            <w:vAlign w:val="bottom"/>
            <w:hideMark/>
          </w:tcPr>
          <w:p w14:paraId="604A5417" w14:textId="77777777" w:rsidR="008D0E26" w:rsidRPr="00941A92" w:rsidRDefault="008D0E26" w:rsidP="00B53F87">
            <w:pPr>
              <w:jc w:val="right"/>
              <w:rPr>
                <w:rFonts w:asciiTheme="minorHAnsi" w:hAnsiTheme="minorHAnsi"/>
              </w:rPr>
            </w:pPr>
            <w:r>
              <w:rPr>
                <w:rFonts w:ascii="Calibri" w:hAnsi="Calibri" w:cs="Calibri"/>
                <w:color w:val="000000"/>
                <w:sz w:val="22"/>
                <w:szCs w:val="22"/>
              </w:rPr>
              <w:t>207</w:t>
            </w:r>
          </w:p>
        </w:tc>
        <w:tc>
          <w:tcPr>
            <w:tcW w:w="663" w:type="dxa"/>
            <w:tcBorders>
              <w:top w:val="single" w:sz="4" w:space="0" w:color="auto"/>
              <w:left w:val="nil"/>
              <w:bottom w:val="single" w:sz="4" w:space="0" w:color="auto"/>
              <w:right w:val="single" w:sz="4" w:space="0" w:color="auto"/>
            </w:tcBorders>
            <w:shd w:val="clear" w:color="auto" w:fill="auto"/>
            <w:vAlign w:val="bottom"/>
          </w:tcPr>
          <w:p w14:paraId="1E88CF4C"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283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1856164"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402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5F771"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42%</w:t>
            </w:r>
          </w:p>
        </w:tc>
        <w:tc>
          <w:tcPr>
            <w:tcW w:w="943" w:type="dxa"/>
            <w:tcBorders>
              <w:top w:val="nil"/>
              <w:left w:val="nil"/>
              <w:bottom w:val="single" w:sz="4" w:space="0" w:color="auto"/>
              <w:right w:val="single" w:sz="4" w:space="0" w:color="auto"/>
            </w:tcBorders>
            <w:shd w:val="clear" w:color="auto" w:fill="auto"/>
            <w:noWrap/>
            <w:vAlign w:val="center"/>
          </w:tcPr>
          <w:p w14:paraId="1B229A26"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-19%</w:t>
            </w:r>
          </w:p>
        </w:tc>
      </w:tr>
      <w:tr w:rsidR="008D0E26" w:rsidRPr="00744555" w14:paraId="300E6644"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BD4F47F"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May</w:t>
            </w:r>
          </w:p>
        </w:tc>
        <w:tc>
          <w:tcPr>
            <w:tcW w:w="720" w:type="dxa"/>
            <w:tcBorders>
              <w:top w:val="nil"/>
              <w:left w:val="nil"/>
              <w:bottom w:val="single" w:sz="4" w:space="0" w:color="auto"/>
              <w:right w:val="single" w:sz="4" w:space="0" w:color="auto"/>
            </w:tcBorders>
            <w:shd w:val="clear" w:color="auto" w:fill="auto"/>
            <w:noWrap/>
            <w:vAlign w:val="bottom"/>
            <w:hideMark/>
          </w:tcPr>
          <w:p w14:paraId="63B4AE6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301</w:t>
            </w:r>
          </w:p>
        </w:tc>
        <w:tc>
          <w:tcPr>
            <w:tcW w:w="720" w:type="dxa"/>
            <w:tcBorders>
              <w:top w:val="nil"/>
              <w:left w:val="nil"/>
              <w:bottom w:val="single" w:sz="4" w:space="0" w:color="auto"/>
              <w:right w:val="single" w:sz="4" w:space="0" w:color="auto"/>
            </w:tcBorders>
            <w:shd w:val="clear" w:color="auto" w:fill="auto"/>
            <w:noWrap/>
            <w:vAlign w:val="bottom"/>
            <w:hideMark/>
          </w:tcPr>
          <w:p w14:paraId="2594D3BC"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252</w:t>
            </w:r>
          </w:p>
        </w:tc>
        <w:tc>
          <w:tcPr>
            <w:tcW w:w="720" w:type="dxa"/>
            <w:tcBorders>
              <w:top w:val="nil"/>
              <w:left w:val="nil"/>
              <w:bottom w:val="single" w:sz="4" w:space="0" w:color="auto"/>
              <w:right w:val="single" w:sz="4" w:space="0" w:color="auto"/>
            </w:tcBorders>
            <w:shd w:val="clear" w:color="auto" w:fill="auto"/>
            <w:noWrap/>
            <w:vAlign w:val="bottom"/>
            <w:hideMark/>
          </w:tcPr>
          <w:p w14:paraId="598B8CFE"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331</w:t>
            </w:r>
          </w:p>
        </w:tc>
        <w:tc>
          <w:tcPr>
            <w:tcW w:w="720" w:type="dxa"/>
            <w:tcBorders>
              <w:top w:val="nil"/>
              <w:left w:val="nil"/>
              <w:bottom w:val="single" w:sz="4" w:space="0" w:color="auto"/>
              <w:right w:val="single" w:sz="4" w:space="0" w:color="auto"/>
            </w:tcBorders>
            <w:shd w:val="clear" w:color="auto" w:fill="auto"/>
            <w:noWrap/>
            <w:vAlign w:val="bottom"/>
            <w:hideMark/>
          </w:tcPr>
          <w:p w14:paraId="59ACC0DE"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258</w:t>
            </w:r>
          </w:p>
        </w:tc>
        <w:tc>
          <w:tcPr>
            <w:tcW w:w="720" w:type="dxa"/>
            <w:tcBorders>
              <w:top w:val="nil"/>
              <w:left w:val="nil"/>
              <w:bottom w:val="single" w:sz="4" w:space="0" w:color="auto"/>
              <w:right w:val="single" w:sz="4" w:space="0" w:color="auto"/>
            </w:tcBorders>
            <w:shd w:val="clear" w:color="auto" w:fill="auto"/>
            <w:noWrap/>
            <w:vAlign w:val="bottom"/>
            <w:hideMark/>
          </w:tcPr>
          <w:p w14:paraId="536FE142" w14:textId="77777777" w:rsidR="008D0E26" w:rsidRPr="00701653" w:rsidRDefault="008D0E26" w:rsidP="00B53F87">
            <w:pPr>
              <w:jc w:val="right"/>
              <w:rPr>
                <w:rFonts w:asciiTheme="minorHAnsi" w:hAnsiTheme="minorHAnsi"/>
              </w:rPr>
            </w:pPr>
            <w:r>
              <w:rPr>
                <w:rFonts w:ascii="Calibri" w:hAnsi="Calibri" w:cs="Calibri"/>
                <w:color w:val="000000"/>
                <w:sz w:val="22"/>
                <w:szCs w:val="22"/>
              </w:rPr>
              <w:t>252</w:t>
            </w:r>
          </w:p>
        </w:tc>
        <w:tc>
          <w:tcPr>
            <w:tcW w:w="663" w:type="dxa"/>
            <w:tcBorders>
              <w:top w:val="single" w:sz="4" w:space="0" w:color="auto"/>
              <w:left w:val="nil"/>
              <w:bottom w:val="single" w:sz="4" w:space="0" w:color="auto"/>
              <w:right w:val="single" w:sz="4" w:space="0" w:color="auto"/>
            </w:tcBorders>
            <w:shd w:val="clear" w:color="auto" w:fill="auto"/>
            <w:vAlign w:val="bottom"/>
          </w:tcPr>
          <w:p w14:paraId="06218E4D"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330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05CD3F9" w14:textId="77777777" w:rsidR="008D0E26" w:rsidRPr="00744555" w:rsidRDefault="008D0E26" w:rsidP="00B53F87">
            <w:pPr>
              <w:jc w:val="right"/>
              <w:rPr>
                <w:rFonts w:asciiTheme="minorHAnsi" w:hAnsiTheme="minorHAnsi"/>
                <w:color w:val="000000"/>
                <w:sz w:val="22"/>
                <w:szCs w:val="22"/>
              </w:rPr>
            </w:pPr>
            <w:r>
              <w:rPr>
                <w:rFonts w:asciiTheme="minorHAnsi" w:hAnsiTheme="minorHAnsi" w:cs="Calibri"/>
                <w:color w:val="000000"/>
                <w:sz w:val="22"/>
                <w:szCs w:val="22"/>
              </w:rPr>
              <w:t>406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CD38C"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23%</w:t>
            </w:r>
          </w:p>
        </w:tc>
        <w:tc>
          <w:tcPr>
            <w:tcW w:w="943" w:type="dxa"/>
            <w:tcBorders>
              <w:top w:val="nil"/>
              <w:left w:val="nil"/>
              <w:bottom w:val="single" w:sz="4" w:space="0" w:color="auto"/>
              <w:right w:val="single" w:sz="4" w:space="0" w:color="auto"/>
            </w:tcBorders>
            <w:shd w:val="clear" w:color="auto" w:fill="auto"/>
            <w:noWrap/>
            <w:vAlign w:val="center"/>
          </w:tcPr>
          <w:p w14:paraId="7C8C5E66"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w:t>
            </w:r>
          </w:p>
        </w:tc>
      </w:tr>
      <w:tr w:rsidR="008D0E26" w:rsidRPr="00744555" w14:paraId="715B978F"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376183E"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Jun</w:t>
            </w:r>
          </w:p>
        </w:tc>
        <w:tc>
          <w:tcPr>
            <w:tcW w:w="720" w:type="dxa"/>
            <w:tcBorders>
              <w:top w:val="nil"/>
              <w:left w:val="nil"/>
              <w:bottom w:val="single" w:sz="4" w:space="0" w:color="auto"/>
              <w:right w:val="single" w:sz="4" w:space="0" w:color="auto"/>
            </w:tcBorders>
            <w:shd w:val="clear" w:color="auto" w:fill="auto"/>
            <w:noWrap/>
            <w:vAlign w:val="bottom"/>
            <w:hideMark/>
          </w:tcPr>
          <w:p w14:paraId="548CDEA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295</w:t>
            </w:r>
          </w:p>
        </w:tc>
        <w:tc>
          <w:tcPr>
            <w:tcW w:w="720" w:type="dxa"/>
            <w:tcBorders>
              <w:top w:val="nil"/>
              <w:left w:val="nil"/>
              <w:bottom w:val="single" w:sz="4" w:space="0" w:color="auto"/>
              <w:right w:val="single" w:sz="4" w:space="0" w:color="auto"/>
            </w:tcBorders>
            <w:shd w:val="clear" w:color="auto" w:fill="auto"/>
            <w:noWrap/>
            <w:vAlign w:val="bottom"/>
            <w:hideMark/>
          </w:tcPr>
          <w:p w14:paraId="3B47C97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234</w:t>
            </w:r>
          </w:p>
        </w:tc>
        <w:tc>
          <w:tcPr>
            <w:tcW w:w="720" w:type="dxa"/>
            <w:tcBorders>
              <w:top w:val="nil"/>
              <w:left w:val="nil"/>
              <w:bottom w:val="single" w:sz="4" w:space="0" w:color="auto"/>
              <w:right w:val="single" w:sz="4" w:space="0" w:color="auto"/>
            </w:tcBorders>
            <w:shd w:val="clear" w:color="auto" w:fill="auto"/>
            <w:noWrap/>
            <w:vAlign w:val="bottom"/>
            <w:hideMark/>
          </w:tcPr>
          <w:p w14:paraId="4C080D81"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331</w:t>
            </w:r>
          </w:p>
        </w:tc>
        <w:tc>
          <w:tcPr>
            <w:tcW w:w="720" w:type="dxa"/>
            <w:tcBorders>
              <w:top w:val="nil"/>
              <w:left w:val="nil"/>
              <w:bottom w:val="single" w:sz="4" w:space="0" w:color="auto"/>
              <w:right w:val="single" w:sz="4" w:space="0" w:color="auto"/>
            </w:tcBorders>
            <w:shd w:val="clear" w:color="auto" w:fill="auto"/>
            <w:noWrap/>
            <w:vAlign w:val="bottom"/>
            <w:hideMark/>
          </w:tcPr>
          <w:p w14:paraId="6BFAE7B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263</w:t>
            </w:r>
          </w:p>
        </w:tc>
        <w:tc>
          <w:tcPr>
            <w:tcW w:w="720" w:type="dxa"/>
            <w:tcBorders>
              <w:top w:val="nil"/>
              <w:left w:val="nil"/>
              <w:bottom w:val="single" w:sz="4" w:space="0" w:color="auto"/>
              <w:right w:val="single" w:sz="4" w:space="0" w:color="auto"/>
            </w:tcBorders>
            <w:shd w:val="clear" w:color="auto" w:fill="auto"/>
            <w:noWrap/>
            <w:vAlign w:val="bottom"/>
            <w:hideMark/>
          </w:tcPr>
          <w:p w14:paraId="1397B611" w14:textId="77777777" w:rsidR="008D0E26" w:rsidRPr="00465EDF" w:rsidRDefault="008D0E26" w:rsidP="00B53F87">
            <w:pPr>
              <w:jc w:val="right"/>
              <w:rPr>
                <w:rFonts w:asciiTheme="minorHAnsi" w:hAnsiTheme="minorHAnsi"/>
              </w:rPr>
            </w:pPr>
            <w:r>
              <w:rPr>
                <w:rFonts w:ascii="Calibri" w:hAnsi="Calibri" w:cs="Calibri"/>
                <w:color w:val="000000"/>
                <w:sz w:val="22"/>
                <w:szCs w:val="22"/>
              </w:rPr>
              <w:t>247</w:t>
            </w:r>
          </w:p>
        </w:tc>
        <w:tc>
          <w:tcPr>
            <w:tcW w:w="663" w:type="dxa"/>
            <w:tcBorders>
              <w:top w:val="single" w:sz="4" w:space="0" w:color="auto"/>
              <w:left w:val="nil"/>
              <w:bottom w:val="single" w:sz="4" w:space="0" w:color="auto"/>
              <w:right w:val="single" w:sz="4" w:space="0" w:color="auto"/>
            </w:tcBorders>
            <w:shd w:val="clear" w:color="auto" w:fill="auto"/>
            <w:vAlign w:val="bottom"/>
          </w:tcPr>
          <w:p w14:paraId="3E305D5A" w14:textId="77777777" w:rsidR="008D0E26" w:rsidRPr="00744555" w:rsidRDefault="008D0E26" w:rsidP="00B53F87">
            <w:pPr>
              <w:jc w:val="right"/>
              <w:rPr>
                <w:rFonts w:asciiTheme="minorHAnsi" w:hAnsiTheme="minorHAnsi"/>
              </w:rPr>
            </w:pPr>
            <w:r w:rsidRPr="00744555">
              <w:rPr>
                <w:rFonts w:asciiTheme="minorHAnsi" w:hAnsiTheme="minorHAnsi" w:cs="Calibri"/>
                <w:color w:val="000000"/>
                <w:sz w:val="22"/>
                <w:szCs w:val="22"/>
              </w:rPr>
              <w:t>358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7A21DB" w14:textId="77777777" w:rsidR="008D0E26" w:rsidRPr="00744555" w:rsidRDefault="008D0E26" w:rsidP="00B53F87">
            <w:pPr>
              <w:jc w:val="right"/>
              <w:rPr>
                <w:rFonts w:asciiTheme="minorHAnsi" w:hAnsiTheme="minorHAnsi"/>
                <w:color w:val="000000"/>
                <w:sz w:val="22"/>
                <w:szCs w:val="22"/>
              </w:rPr>
            </w:pPr>
            <w:r>
              <w:rPr>
                <w:rFonts w:asciiTheme="minorHAnsi" w:hAnsiTheme="minorHAnsi" w:cs="Calibri"/>
                <w:color w:val="000000"/>
                <w:sz w:val="22"/>
                <w:szCs w:val="22"/>
              </w:rPr>
              <w:t>401</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71B86F"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12%</w:t>
            </w:r>
          </w:p>
        </w:tc>
        <w:tc>
          <w:tcPr>
            <w:tcW w:w="943" w:type="dxa"/>
            <w:tcBorders>
              <w:top w:val="nil"/>
              <w:left w:val="nil"/>
              <w:bottom w:val="single" w:sz="4" w:space="0" w:color="auto"/>
              <w:right w:val="single" w:sz="4" w:space="0" w:color="auto"/>
            </w:tcBorders>
            <w:shd w:val="clear" w:color="auto" w:fill="auto"/>
            <w:noWrap/>
            <w:vAlign w:val="center"/>
          </w:tcPr>
          <w:p w14:paraId="4DBD470D"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w:t>
            </w:r>
          </w:p>
        </w:tc>
      </w:tr>
      <w:tr w:rsidR="008D0E26" w:rsidRPr="00FA3821" w14:paraId="7E56041C"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61D240FC"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Jul</w:t>
            </w:r>
          </w:p>
        </w:tc>
        <w:tc>
          <w:tcPr>
            <w:tcW w:w="720" w:type="dxa"/>
            <w:tcBorders>
              <w:top w:val="nil"/>
              <w:left w:val="nil"/>
              <w:bottom w:val="single" w:sz="4" w:space="0" w:color="auto"/>
              <w:right w:val="single" w:sz="4" w:space="0" w:color="auto"/>
            </w:tcBorders>
            <w:shd w:val="clear" w:color="auto" w:fill="auto"/>
            <w:noWrap/>
            <w:vAlign w:val="bottom"/>
            <w:hideMark/>
          </w:tcPr>
          <w:p w14:paraId="5A13DD1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233</w:t>
            </w:r>
          </w:p>
        </w:tc>
        <w:tc>
          <w:tcPr>
            <w:tcW w:w="720" w:type="dxa"/>
            <w:tcBorders>
              <w:top w:val="nil"/>
              <w:left w:val="nil"/>
              <w:bottom w:val="single" w:sz="4" w:space="0" w:color="auto"/>
              <w:right w:val="single" w:sz="4" w:space="0" w:color="auto"/>
            </w:tcBorders>
            <w:shd w:val="clear" w:color="auto" w:fill="auto"/>
            <w:noWrap/>
            <w:vAlign w:val="bottom"/>
            <w:hideMark/>
          </w:tcPr>
          <w:p w14:paraId="4715712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233</w:t>
            </w:r>
          </w:p>
        </w:tc>
        <w:tc>
          <w:tcPr>
            <w:tcW w:w="720" w:type="dxa"/>
            <w:tcBorders>
              <w:top w:val="nil"/>
              <w:left w:val="nil"/>
              <w:bottom w:val="single" w:sz="4" w:space="0" w:color="auto"/>
              <w:right w:val="single" w:sz="4" w:space="0" w:color="auto"/>
            </w:tcBorders>
            <w:shd w:val="clear" w:color="auto" w:fill="auto"/>
            <w:noWrap/>
            <w:vAlign w:val="bottom"/>
            <w:hideMark/>
          </w:tcPr>
          <w:p w14:paraId="1CA2CF0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291</w:t>
            </w:r>
          </w:p>
        </w:tc>
        <w:tc>
          <w:tcPr>
            <w:tcW w:w="720" w:type="dxa"/>
            <w:tcBorders>
              <w:top w:val="nil"/>
              <w:left w:val="nil"/>
              <w:bottom w:val="single" w:sz="4" w:space="0" w:color="auto"/>
              <w:right w:val="single" w:sz="4" w:space="0" w:color="auto"/>
            </w:tcBorders>
            <w:shd w:val="clear" w:color="auto" w:fill="auto"/>
            <w:noWrap/>
            <w:vAlign w:val="bottom"/>
            <w:hideMark/>
          </w:tcPr>
          <w:p w14:paraId="2CEDA5B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197</w:t>
            </w:r>
          </w:p>
        </w:tc>
        <w:tc>
          <w:tcPr>
            <w:tcW w:w="720" w:type="dxa"/>
            <w:tcBorders>
              <w:top w:val="nil"/>
              <w:left w:val="nil"/>
              <w:bottom w:val="single" w:sz="4" w:space="0" w:color="auto"/>
              <w:right w:val="single" w:sz="4" w:space="0" w:color="auto"/>
            </w:tcBorders>
            <w:shd w:val="clear" w:color="auto" w:fill="auto"/>
            <w:noWrap/>
            <w:vAlign w:val="bottom"/>
            <w:hideMark/>
          </w:tcPr>
          <w:p w14:paraId="33FB840C" w14:textId="77777777" w:rsidR="008D0E26" w:rsidRPr="00465EDF" w:rsidRDefault="008D0E26" w:rsidP="00B53F87">
            <w:pPr>
              <w:jc w:val="right"/>
              <w:rPr>
                <w:rFonts w:asciiTheme="minorHAnsi" w:hAnsiTheme="minorHAnsi"/>
              </w:rPr>
            </w:pPr>
            <w:r>
              <w:rPr>
                <w:rFonts w:ascii="Calibri" w:hAnsi="Calibri" w:cs="Calibri"/>
                <w:color w:val="000000"/>
                <w:sz w:val="22"/>
                <w:szCs w:val="22"/>
              </w:rPr>
              <w:t>197</w:t>
            </w:r>
          </w:p>
        </w:tc>
        <w:tc>
          <w:tcPr>
            <w:tcW w:w="663" w:type="dxa"/>
            <w:tcBorders>
              <w:top w:val="single" w:sz="4" w:space="0" w:color="auto"/>
              <w:left w:val="nil"/>
              <w:bottom w:val="single" w:sz="4" w:space="0" w:color="auto"/>
              <w:right w:val="single" w:sz="4" w:space="0" w:color="auto"/>
            </w:tcBorders>
            <w:shd w:val="clear" w:color="auto" w:fill="auto"/>
            <w:vAlign w:val="bottom"/>
          </w:tcPr>
          <w:p w14:paraId="53059208" w14:textId="77777777" w:rsidR="008D0E26" w:rsidRPr="00DA6A4A" w:rsidRDefault="008D0E26" w:rsidP="00B53F87">
            <w:pPr>
              <w:jc w:val="right"/>
              <w:rPr>
                <w:rFonts w:asciiTheme="minorHAnsi" w:hAnsiTheme="minorHAnsi"/>
              </w:rPr>
            </w:pPr>
            <w:r>
              <w:rPr>
                <w:rFonts w:ascii="Calibri" w:hAnsi="Calibri" w:cs="Calibri"/>
                <w:color w:val="000000"/>
                <w:sz w:val="22"/>
                <w:szCs w:val="22"/>
              </w:rPr>
              <w:t>304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7C0164C" w14:textId="77777777" w:rsidR="008D0E26" w:rsidRPr="000A6FC2" w:rsidRDefault="008D0E26" w:rsidP="00B53F87">
            <w:pPr>
              <w:jc w:val="right"/>
              <w:rPr>
                <w:rFonts w:ascii="Calibri" w:hAnsi="Calibri"/>
                <w:color w:val="000000"/>
                <w:sz w:val="22"/>
                <w:szCs w:val="22"/>
              </w:rPr>
            </w:pPr>
            <w:r>
              <w:rPr>
                <w:rFonts w:ascii="Calibri" w:hAnsi="Calibri" w:cs="Calibri"/>
                <w:color w:val="000000"/>
                <w:sz w:val="22"/>
                <w:szCs w:val="22"/>
              </w:rPr>
              <w:t> 312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242FD6" w14:textId="77777777" w:rsidR="008D0E26" w:rsidRPr="000A6FC2" w:rsidRDefault="008D0E26" w:rsidP="00B53F87">
            <w:pPr>
              <w:jc w:val="right"/>
              <w:rPr>
                <w:rFonts w:ascii="Calibri" w:hAnsi="Calibri"/>
                <w:color w:val="000000"/>
                <w:sz w:val="22"/>
                <w:szCs w:val="22"/>
              </w:rPr>
            </w:pPr>
            <w:r>
              <w:rPr>
                <w:rFonts w:ascii="Calibri" w:hAnsi="Calibri"/>
                <w:color w:val="000000"/>
                <w:sz w:val="22"/>
                <w:szCs w:val="22"/>
              </w:rPr>
              <w:t>3%</w:t>
            </w:r>
          </w:p>
        </w:tc>
        <w:tc>
          <w:tcPr>
            <w:tcW w:w="943" w:type="dxa"/>
            <w:tcBorders>
              <w:top w:val="nil"/>
              <w:left w:val="nil"/>
              <w:bottom w:val="single" w:sz="4" w:space="0" w:color="auto"/>
              <w:right w:val="single" w:sz="4" w:space="0" w:color="auto"/>
            </w:tcBorders>
            <w:shd w:val="clear" w:color="auto" w:fill="auto"/>
            <w:noWrap/>
            <w:vAlign w:val="center"/>
          </w:tcPr>
          <w:p w14:paraId="6A4BF07E" w14:textId="77777777" w:rsidR="008D0E26" w:rsidRPr="000A6FC2" w:rsidRDefault="008D0E26" w:rsidP="00B53F87">
            <w:pPr>
              <w:jc w:val="right"/>
              <w:rPr>
                <w:rFonts w:ascii="Calibri" w:hAnsi="Calibri"/>
                <w:color w:val="000000"/>
                <w:sz w:val="22"/>
                <w:szCs w:val="22"/>
              </w:rPr>
            </w:pPr>
            <w:r>
              <w:rPr>
                <w:rFonts w:ascii="Calibri" w:hAnsi="Calibri"/>
                <w:color w:val="000000"/>
                <w:sz w:val="22"/>
                <w:szCs w:val="22"/>
              </w:rPr>
              <w:t>-22%</w:t>
            </w:r>
          </w:p>
        </w:tc>
      </w:tr>
      <w:tr w:rsidR="008D0E26" w:rsidRPr="00FA3821" w14:paraId="6E53FAA1"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44E8AD6B"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Aug</w:t>
            </w:r>
          </w:p>
        </w:tc>
        <w:tc>
          <w:tcPr>
            <w:tcW w:w="720" w:type="dxa"/>
            <w:tcBorders>
              <w:top w:val="nil"/>
              <w:left w:val="nil"/>
              <w:bottom w:val="single" w:sz="4" w:space="0" w:color="auto"/>
              <w:right w:val="single" w:sz="4" w:space="0" w:color="auto"/>
            </w:tcBorders>
            <w:shd w:val="clear" w:color="auto" w:fill="auto"/>
            <w:noWrap/>
            <w:vAlign w:val="bottom"/>
            <w:hideMark/>
          </w:tcPr>
          <w:p w14:paraId="2D51B67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235</w:t>
            </w:r>
          </w:p>
        </w:tc>
        <w:tc>
          <w:tcPr>
            <w:tcW w:w="720" w:type="dxa"/>
            <w:tcBorders>
              <w:top w:val="nil"/>
              <w:left w:val="nil"/>
              <w:bottom w:val="single" w:sz="4" w:space="0" w:color="auto"/>
              <w:right w:val="single" w:sz="4" w:space="0" w:color="auto"/>
            </w:tcBorders>
            <w:shd w:val="clear" w:color="auto" w:fill="auto"/>
            <w:noWrap/>
            <w:vAlign w:val="bottom"/>
            <w:hideMark/>
          </w:tcPr>
          <w:p w14:paraId="32D1CFD8"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229</w:t>
            </w:r>
          </w:p>
        </w:tc>
        <w:tc>
          <w:tcPr>
            <w:tcW w:w="720" w:type="dxa"/>
            <w:tcBorders>
              <w:top w:val="nil"/>
              <w:left w:val="nil"/>
              <w:bottom w:val="single" w:sz="4" w:space="0" w:color="auto"/>
              <w:right w:val="single" w:sz="4" w:space="0" w:color="auto"/>
            </w:tcBorders>
            <w:shd w:val="clear" w:color="auto" w:fill="auto"/>
            <w:noWrap/>
            <w:vAlign w:val="bottom"/>
            <w:hideMark/>
          </w:tcPr>
          <w:p w14:paraId="361F586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264</w:t>
            </w:r>
          </w:p>
        </w:tc>
        <w:tc>
          <w:tcPr>
            <w:tcW w:w="720" w:type="dxa"/>
            <w:tcBorders>
              <w:top w:val="nil"/>
              <w:left w:val="nil"/>
              <w:bottom w:val="single" w:sz="4" w:space="0" w:color="auto"/>
              <w:right w:val="single" w:sz="4" w:space="0" w:color="auto"/>
            </w:tcBorders>
            <w:shd w:val="clear" w:color="auto" w:fill="auto"/>
            <w:noWrap/>
            <w:vAlign w:val="bottom"/>
            <w:hideMark/>
          </w:tcPr>
          <w:p w14:paraId="6B9027F5"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196</w:t>
            </w:r>
          </w:p>
        </w:tc>
        <w:tc>
          <w:tcPr>
            <w:tcW w:w="720" w:type="dxa"/>
            <w:tcBorders>
              <w:top w:val="nil"/>
              <w:left w:val="nil"/>
              <w:bottom w:val="single" w:sz="4" w:space="0" w:color="auto"/>
              <w:right w:val="single" w:sz="4" w:space="0" w:color="auto"/>
            </w:tcBorders>
            <w:shd w:val="clear" w:color="auto" w:fill="auto"/>
            <w:noWrap/>
            <w:vAlign w:val="bottom"/>
            <w:hideMark/>
          </w:tcPr>
          <w:p w14:paraId="1459E475" w14:textId="77777777" w:rsidR="008D0E26" w:rsidRPr="00465EDF" w:rsidRDefault="008D0E26" w:rsidP="00B53F87">
            <w:pPr>
              <w:jc w:val="right"/>
              <w:rPr>
                <w:rFonts w:asciiTheme="minorHAnsi" w:hAnsiTheme="minorHAnsi"/>
              </w:rPr>
            </w:pPr>
            <w:r>
              <w:rPr>
                <w:rFonts w:ascii="Calibri" w:hAnsi="Calibri" w:cs="Calibri"/>
                <w:color w:val="000000"/>
                <w:sz w:val="22"/>
                <w:szCs w:val="22"/>
              </w:rPr>
              <w:t>220</w:t>
            </w:r>
          </w:p>
        </w:tc>
        <w:tc>
          <w:tcPr>
            <w:tcW w:w="663" w:type="dxa"/>
            <w:tcBorders>
              <w:top w:val="single" w:sz="4" w:space="0" w:color="auto"/>
              <w:left w:val="nil"/>
              <w:bottom w:val="single" w:sz="4" w:space="0" w:color="auto"/>
              <w:right w:val="single" w:sz="4" w:space="0" w:color="auto"/>
            </w:tcBorders>
            <w:shd w:val="clear" w:color="auto" w:fill="auto"/>
            <w:vAlign w:val="bottom"/>
          </w:tcPr>
          <w:p w14:paraId="579E191F" w14:textId="77777777" w:rsidR="008D0E26" w:rsidRPr="00FD3691" w:rsidRDefault="008D0E26" w:rsidP="00B53F87">
            <w:pPr>
              <w:jc w:val="right"/>
              <w:rPr>
                <w:rFonts w:ascii="Calibri" w:hAnsi="Calibri"/>
                <w:color w:val="000000"/>
              </w:rPr>
            </w:pPr>
            <w:r>
              <w:rPr>
                <w:rFonts w:ascii="Calibri" w:hAnsi="Calibri" w:cs="Calibri"/>
                <w:color w:val="000000"/>
                <w:sz w:val="22"/>
                <w:szCs w:val="22"/>
              </w:rPr>
              <w:t>341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7369213" w14:textId="77777777" w:rsidR="008D0E26" w:rsidRPr="00653854" w:rsidRDefault="008D0E26" w:rsidP="00B53F87">
            <w:pPr>
              <w:jc w:val="right"/>
              <w:rPr>
                <w:rFonts w:ascii="Calibri" w:hAnsi="Calibri"/>
                <w:color w:val="000000"/>
                <w:sz w:val="22"/>
                <w:szCs w:val="22"/>
              </w:rPr>
            </w:pPr>
            <w:r>
              <w:rPr>
                <w:rFonts w:ascii="Calibri" w:hAnsi="Calibri" w:cs="Calibri"/>
                <w:color w:val="000000"/>
                <w:sz w:val="22"/>
                <w:szCs w:val="22"/>
              </w:rPr>
              <w:t> 297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EDE9C" w14:textId="77777777" w:rsidR="008D0E26" w:rsidRPr="00653854" w:rsidRDefault="008D0E26" w:rsidP="00B53F87">
            <w:pPr>
              <w:jc w:val="right"/>
              <w:rPr>
                <w:rFonts w:ascii="Calibri" w:hAnsi="Calibri"/>
                <w:color w:val="000000"/>
                <w:sz w:val="22"/>
                <w:szCs w:val="22"/>
              </w:rPr>
            </w:pPr>
            <w:r>
              <w:rPr>
                <w:rFonts w:ascii="Calibri" w:hAnsi="Calibri"/>
                <w:color w:val="000000"/>
                <w:sz w:val="22"/>
                <w:szCs w:val="22"/>
              </w:rPr>
              <w:t>-13%</w:t>
            </w:r>
          </w:p>
        </w:tc>
        <w:tc>
          <w:tcPr>
            <w:tcW w:w="943" w:type="dxa"/>
            <w:tcBorders>
              <w:top w:val="nil"/>
              <w:left w:val="nil"/>
              <w:bottom w:val="single" w:sz="4" w:space="0" w:color="auto"/>
              <w:right w:val="single" w:sz="4" w:space="0" w:color="auto"/>
            </w:tcBorders>
            <w:shd w:val="clear" w:color="auto" w:fill="auto"/>
            <w:noWrap/>
            <w:vAlign w:val="center"/>
          </w:tcPr>
          <w:p w14:paraId="0AFEDC3E" w14:textId="77777777" w:rsidR="008D0E26" w:rsidRPr="00653854" w:rsidRDefault="008D0E26" w:rsidP="00B53F87">
            <w:pPr>
              <w:jc w:val="right"/>
              <w:rPr>
                <w:rFonts w:ascii="Calibri" w:hAnsi="Calibri"/>
                <w:color w:val="000000"/>
                <w:sz w:val="22"/>
                <w:szCs w:val="22"/>
              </w:rPr>
            </w:pPr>
            <w:r>
              <w:rPr>
                <w:rFonts w:ascii="Calibri" w:hAnsi="Calibri"/>
                <w:color w:val="000000"/>
                <w:sz w:val="22"/>
                <w:szCs w:val="22"/>
              </w:rPr>
              <w:t>-5%</w:t>
            </w:r>
          </w:p>
        </w:tc>
      </w:tr>
      <w:tr w:rsidR="008D0E26" w:rsidRPr="00FA3821" w14:paraId="336AD16F"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6C2F6F7"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Sep</w:t>
            </w:r>
          </w:p>
        </w:tc>
        <w:tc>
          <w:tcPr>
            <w:tcW w:w="720" w:type="dxa"/>
            <w:tcBorders>
              <w:top w:val="nil"/>
              <w:left w:val="nil"/>
              <w:bottom w:val="single" w:sz="4" w:space="0" w:color="auto"/>
              <w:right w:val="single" w:sz="4" w:space="0" w:color="auto"/>
            </w:tcBorders>
            <w:shd w:val="clear" w:color="auto" w:fill="auto"/>
            <w:noWrap/>
            <w:vAlign w:val="bottom"/>
            <w:hideMark/>
          </w:tcPr>
          <w:p w14:paraId="20891A9A"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200</w:t>
            </w:r>
          </w:p>
        </w:tc>
        <w:tc>
          <w:tcPr>
            <w:tcW w:w="720" w:type="dxa"/>
            <w:tcBorders>
              <w:top w:val="nil"/>
              <w:left w:val="nil"/>
              <w:bottom w:val="single" w:sz="4" w:space="0" w:color="auto"/>
              <w:right w:val="single" w:sz="4" w:space="0" w:color="auto"/>
            </w:tcBorders>
            <w:shd w:val="clear" w:color="auto" w:fill="auto"/>
            <w:noWrap/>
            <w:vAlign w:val="bottom"/>
            <w:hideMark/>
          </w:tcPr>
          <w:p w14:paraId="46CE5A9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218</w:t>
            </w:r>
          </w:p>
        </w:tc>
        <w:tc>
          <w:tcPr>
            <w:tcW w:w="720" w:type="dxa"/>
            <w:tcBorders>
              <w:top w:val="nil"/>
              <w:left w:val="nil"/>
              <w:bottom w:val="single" w:sz="4" w:space="0" w:color="auto"/>
              <w:right w:val="single" w:sz="4" w:space="0" w:color="auto"/>
            </w:tcBorders>
            <w:shd w:val="clear" w:color="auto" w:fill="auto"/>
            <w:noWrap/>
            <w:vAlign w:val="bottom"/>
            <w:hideMark/>
          </w:tcPr>
          <w:p w14:paraId="75771C9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279</w:t>
            </w:r>
          </w:p>
        </w:tc>
        <w:tc>
          <w:tcPr>
            <w:tcW w:w="720" w:type="dxa"/>
            <w:tcBorders>
              <w:top w:val="nil"/>
              <w:left w:val="nil"/>
              <w:bottom w:val="single" w:sz="4" w:space="0" w:color="auto"/>
              <w:right w:val="single" w:sz="4" w:space="0" w:color="auto"/>
            </w:tcBorders>
            <w:shd w:val="clear" w:color="auto" w:fill="auto"/>
            <w:noWrap/>
            <w:vAlign w:val="bottom"/>
            <w:hideMark/>
          </w:tcPr>
          <w:p w14:paraId="75919C3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210</w:t>
            </w:r>
          </w:p>
        </w:tc>
        <w:tc>
          <w:tcPr>
            <w:tcW w:w="720" w:type="dxa"/>
            <w:tcBorders>
              <w:top w:val="nil"/>
              <w:left w:val="nil"/>
              <w:bottom w:val="single" w:sz="4" w:space="0" w:color="auto"/>
              <w:right w:val="single" w:sz="4" w:space="0" w:color="auto"/>
            </w:tcBorders>
            <w:shd w:val="clear" w:color="auto" w:fill="auto"/>
            <w:noWrap/>
            <w:vAlign w:val="bottom"/>
            <w:hideMark/>
          </w:tcPr>
          <w:p w14:paraId="6E238488" w14:textId="77777777" w:rsidR="008D0E26" w:rsidRPr="00465EDF" w:rsidRDefault="008D0E26" w:rsidP="00B53F87">
            <w:pPr>
              <w:jc w:val="right"/>
              <w:rPr>
                <w:rFonts w:asciiTheme="minorHAnsi" w:hAnsiTheme="minorHAnsi"/>
              </w:rPr>
            </w:pPr>
            <w:r>
              <w:rPr>
                <w:rFonts w:ascii="Calibri" w:hAnsi="Calibri" w:cs="Calibri"/>
                <w:color w:val="000000"/>
                <w:sz w:val="22"/>
                <w:szCs w:val="22"/>
              </w:rPr>
              <w:t>231</w:t>
            </w:r>
          </w:p>
        </w:tc>
        <w:tc>
          <w:tcPr>
            <w:tcW w:w="663" w:type="dxa"/>
            <w:tcBorders>
              <w:top w:val="single" w:sz="4" w:space="0" w:color="auto"/>
              <w:left w:val="nil"/>
              <w:bottom w:val="single" w:sz="4" w:space="0" w:color="auto"/>
              <w:right w:val="single" w:sz="4" w:space="0" w:color="auto"/>
            </w:tcBorders>
            <w:shd w:val="clear" w:color="auto" w:fill="FFFFFF" w:themeFill="background1"/>
            <w:vAlign w:val="bottom"/>
          </w:tcPr>
          <w:p w14:paraId="63A05468" w14:textId="77777777" w:rsidR="008D0E26" w:rsidRPr="00C00BFC" w:rsidRDefault="008D0E26" w:rsidP="00B53F87">
            <w:pPr>
              <w:jc w:val="right"/>
              <w:rPr>
                <w:rFonts w:asciiTheme="minorHAnsi" w:hAnsiTheme="minorHAnsi"/>
              </w:rPr>
            </w:pPr>
            <w:r>
              <w:rPr>
                <w:rFonts w:ascii="Calibri" w:hAnsi="Calibri" w:cs="Calibri"/>
                <w:color w:val="000000"/>
                <w:sz w:val="22"/>
                <w:szCs w:val="22"/>
              </w:rPr>
              <w:t>322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18D3157E" w14:textId="77777777" w:rsidR="008D0E26" w:rsidRPr="002A2F15" w:rsidRDefault="008D0E26" w:rsidP="00B53F87">
            <w:pPr>
              <w:jc w:val="right"/>
              <w:rPr>
                <w:rFonts w:ascii="Calibri" w:hAnsi="Calibri"/>
                <w:color w:val="000000"/>
                <w:sz w:val="22"/>
                <w:szCs w:val="22"/>
              </w:rPr>
            </w:pPr>
            <w:r>
              <w:rPr>
                <w:rFonts w:ascii="Calibri" w:hAnsi="Calibri" w:cs="Calibri"/>
                <w:color w:val="000000"/>
                <w:sz w:val="22"/>
                <w:szCs w:val="22"/>
              </w:rPr>
              <w:t> 252</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C31FA" w14:textId="77777777" w:rsidR="008D0E26" w:rsidRPr="002A2F15" w:rsidRDefault="008D0E26" w:rsidP="00B53F87">
            <w:pPr>
              <w:jc w:val="right"/>
              <w:rPr>
                <w:rFonts w:ascii="Calibri" w:hAnsi="Calibri"/>
                <w:color w:val="000000"/>
                <w:sz w:val="22"/>
                <w:szCs w:val="22"/>
              </w:rPr>
            </w:pPr>
            <w:r>
              <w:rPr>
                <w:rFonts w:ascii="Calibri" w:hAnsi="Calibri"/>
                <w:color w:val="000000"/>
                <w:sz w:val="22"/>
                <w:szCs w:val="22"/>
              </w:rPr>
              <w:t>-22%</w:t>
            </w:r>
          </w:p>
        </w:tc>
        <w:tc>
          <w:tcPr>
            <w:tcW w:w="943" w:type="dxa"/>
            <w:tcBorders>
              <w:top w:val="nil"/>
              <w:left w:val="nil"/>
              <w:bottom w:val="single" w:sz="4" w:space="0" w:color="auto"/>
              <w:right w:val="single" w:sz="4" w:space="0" w:color="auto"/>
            </w:tcBorders>
            <w:shd w:val="clear" w:color="auto" w:fill="auto"/>
            <w:noWrap/>
            <w:vAlign w:val="center"/>
          </w:tcPr>
          <w:p w14:paraId="24462E4C" w14:textId="77777777" w:rsidR="008D0E26" w:rsidRPr="002A2F15" w:rsidRDefault="008D0E26" w:rsidP="00B53F87">
            <w:pPr>
              <w:jc w:val="right"/>
              <w:rPr>
                <w:rFonts w:ascii="Calibri" w:hAnsi="Calibri"/>
                <w:color w:val="000000"/>
                <w:sz w:val="22"/>
                <w:szCs w:val="22"/>
              </w:rPr>
            </w:pPr>
            <w:r>
              <w:rPr>
                <w:rFonts w:ascii="Calibri" w:hAnsi="Calibri"/>
                <w:color w:val="000000"/>
                <w:sz w:val="22"/>
                <w:szCs w:val="22"/>
              </w:rPr>
              <w:t>-15%</w:t>
            </w:r>
          </w:p>
        </w:tc>
      </w:tr>
      <w:tr w:rsidR="008D0E26" w:rsidRPr="00FA3821" w14:paraId="2BEFFFC8"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23F14F2A"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Oct</w:t>
            </w:r>
          </w:p>
        </w:tc>
        <w:tc>
          <w:tcPr>
            <w:tcW w:w="720" w:type="dxa"/>
            <w:tcBorders>
              <w:top w:val="nil"/>
              <w:left w:val="nil"/>
              <w:bottom w:val="single" w:sz="4" w:space="0" w:color="auto"/>
              <w:right w:val="single" w:sz="4" w:space="0" w:color="auto"/>
            </w:tcBorders>
            <w:shd w:val="clear" w:color="auto" w:fill="auto"/>
            <w:noWrap/>
            <w:vAlign w:val="bottom"/>
            <w:hideMark/>
          </w:tcPr>
          <w:p w14:paraId="7B76CEC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215</w:t>
            </w:r>
          </w:p>
        </w:tc>
        <w:tc>
          <w:tcPr>
            <w:tcW w:w="720" w:type="dxa"/>
            <w:tcBorders>
              <w:top w:val="nil"/>
              <w:left w:val="nil"/>
              <w:bottom w:val="single" w:sz="4" w:space="0" w:color="auto"/>
              <w:right w:val="single" w:sz="4" w:space="0" w:color="auto"/>
            </w:tcBorders>
            <w:shd w:val="clear" w:color="auto" w:fill="auto"/>
            <w:noWrap/>
            <w:vAlign w:val="bottom"/>
            <w:hideMark/>
          </w:tcPr>
          <w:p w14:paraId="17E898C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232</w:t>
            </w:r>
          </w:p>
        </w:tc>
        <w:tc>
          <w:tcPr>
            <w:tcW w:w="720" w:type="dxa"/>
            <w:tcBorders>
              <w:top w:val="nil"/>
              <w:left w:val="nil"/>
              <w:bottom w:val="single" w:sz="4" w:space="0" w:color="auto"/>
              <w:right w:val="single" w:sz="4" w:space="0" w:color="auto"/>
            </w:tcBorders>
            <w:shd w:val="clear" w:color="auto" w:fill="auto"/>
            <w:noWrap/>
            <w:vAlign w:val="bottom"/>
            <w:hideMark/>
          </w:tcPr>
          <w:p w14:paraId="513A633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282</w:t>
            </w:r>
          </w:p>
        </w:tc>
        <w:tc>
          <w:tcPr>
            <w:tcW w:w="720" w:type="dxa"/>
            <w:tcBorders>
              <w:top w:val="nil"/>
              <w:left w:val="nil"/>
              <w:bottom w:val="single" w:sz="4" w:space="0" w:color="auto"/>
              <w:right w:val="single" w:sz="4" w:space="0" w:color="auto"/>
            </w:tcBorders>
            <w:shd w:val="clear" w:color="auto" w:fill="auto"/>
            <w:noWrap/>
            <w:vAlign w:val="bottom"/>
            <w:hideMark/>
          </w:tcPr>
          <w:p w14:paraId="47FCE2B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197</w:t>
            </w:r>
          </w:p>
        </w:tc>
        <w:tc>
          <w:tcPr>
            <w:tcW w:w="720" w:type="dxa"/>
            <w:tcBorders>
              <w:top w:val="nil"/>
              <w:left w:val="nil"/>
              <w:bottom w:val="single" w:sz="4" w:space="0" w:color="auto"/>
              <w:right w:val="single" w:sz="4" w:space="0" w:color="auto"/>
            </w:tcBorders>
            <w:shd w:val="clear" w:color="auto" w:fill="auto"/>
            <w:noWrap/>
            <w:vAlign w:val="bottom"/>
            <w:hideMark/>
          </w:tcPr>
          <w:p w14:paraId="4B914C22" w14:textId="77777777" w:rsidR="008D0E26" w:rsidRPr="00465EDF" w:rsidRDefault="008D0E26" w:rsidP="00B53F87">
            <w:pPr>
              <w:jc w:val="right"/>
              <w:rPr>
                <w:rFonts w:asciiTheme="minorHAnsi" w:hAnsiTheme="minorHAnsi"/>
              </w:rPr>
            </w:pPr>
            <w:r>
              <w:rPr>
                <w:rFonts w:ascii="Calibri" w:hAnsi="Calibri" w:cs="Calibri"/>
                <w:color w:val="000000"/>
                <w:sz w:val="22"/>
                <w:szCs w:val="22"/>
              </w:rPr>
              <w:t>213</w:t>
            </w:r>
          </w:p>
        </w:tc>
        <w:tc>
          <w:tcPr>
            <w:tcW w:w="663" w:type="dxa"/>
            <w:tcBorders>
              <w:top w:val="single" w:sz="4" w:space="0" w:color="auto"/>
              <w:left w:val="nil"/>
              <w:bottom w:val="single" w:sz="4" w:space="0" w:color="auto"/>
              <w:right w:val="single" w:sz="4" w:space="0" w:color="auto"/>
            </w:tcBorders>
            <w:shd w:val="clear" w:color="auto" w:fill="auto"/>
            <w:vAlign w:val="bottom"/>
          </w:tcPr>
          <w:p w14:paraId="20229829" w14:textId="77777777" w:rsidR="008D0E26" w:rsidRPr="007E6CC9" w:rsidRDefault="008D0E26" w:rsidP="00B53F87">
            <w:pPr>
              <w:jc w:val="right"/>
              <w:rPr>
                <w:rFonts w:asciiTheme="minorHAnsi" w:hAnsiTheme="minorHAnsi"/>
              </w:rPr>
            </w:pPr>
            <w:r>
              <w:rPr>
                <w:rFonts w:ascii="Calibri" w:hAnsi="Calibri" w:cs="Calibri"/>
                <w:color w:val="000000"/>
                <w:sz w:val="22"/>
                <w:szCs w:val="22"/>
              </w:rPr>
              <w:t>333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340E45" w14:textId="77777777" w:rsidR="008D0E26" w:rsidRPr="000208BB" w:rsidRDefault="008D0E26" w:rsidP="00B53F87">
            <w:pPr>
              <w:jc w:val="right"/>
              <w:rPr>
                <w:rFonts w:ascii="Calibri" w:hAnsi="Calibri"/>
                <w:color w:val="000000"/>
                <w:sz w:val="22"/>
                <w:szCs w:val="22"/>
              </w:rPr>
            </w:pPr>
            <w:r>
              <w:rPr>
                <w:rFonts w:ascii="Calibri" w:hAnsi="Calibri" w:cs="Calibri"/>
                <w:color w:val="000000"/>
                <w:sz w:val="22"/>
                <w:szCs w:val="22"/>
              </w:rPr>
              <w:t> 257</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1461CD" w14:textId="77777777" w:rsidR="008D0E26" w:rsidRPr="000208BB" w:rsidRDefault="008D0E26" w:rsidP="00B53F87">
            <w:pPr>
              <w:jc w:val="right"/>
              <w:rPr>
                <w:rFonts w:ascii="Calibri" w:hAnsi="Calibri"/>
                <w:color w:val="000000"/>
                <w:sz w:val="22"/>
                <w:szCs w:val="22"/>
              </w:rPr>
            </w:pPr>
            <w:r>
              <w:rPr>
                <w:rFonts w:ascii="Calibri" w:hAnsi="Calibri"/>
                <w:color w:val="000000"/>
                <w:sz w:val="22"/>
                <w:szCs w:val="22"/>
              </w:rPr>
              <w:t>-23%</w:t>
            </w:r>
          </w:p>
        </w:tc>
        <w:tc>
          <w:tcPr>
            <w:tcW w:w="943" w:type="dxa"/>
            <w:tcBorders>
              <w:top w:val="nil"/>
              <w:left w:val="nil"/>
              <w:bottom w:val="single" w:sz="4" w:space="0" w:color="auto"/>
              <w:right w:val="single" w:sz="4" w:space="0" w:color="auto"/>
            </w:tcBorders>
            <w:shd w:val="clear" w:color="auto" w:fill="auto"/>
            <w:noWrap/>
            <w:vAlign w:val="center"/>
          </w:tcPr>
          <w:p w14:paraId="2AF8F587" w14:textId="77777777" w:rsidR="008D0E26" w:rsidRPr="000208BB" w:rsidRDefault="008D0E26" w:rsidP="00B53F87">
            <w:pPr>
              <w:jc w:val="right"/>
              <w:rPr>
                <w:rFonts w:ascii="Calibri" w:hAnsi="Calibri"/>
                <w:color w:val="000000"/>
                <w:sz w:val="22"/>
                <w:szCs w:val="22"/>
              </w:rPr>
            </w:pPr>
            <w:r>
              <w:rPr>
                <w:rFonts w:ascii="Calibri" w:hAnsi="Calibri"/>
                <w:color w:val="000000"/>
                <w:sz w:val="22"/>
                <w:szCs w:val="22"/>
              </w:rPr>
              <w:t>2%</w:t>
            </w:r>
          </w:p>
        </w:tc>
      </w:tr>
      <w:tr w:rsidR="008D0E26" w:rsidRPr="00FA3821" w14:paraId="69412E6B"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313456ED"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Nov</w:t>
            </w:r>
          </w:p>
        </w:tc>
        <w:tc>
          <w:tcPr>
            <w:tcW w:w="720" w:type="dxa"/>
            <w:tcBorders>
              <w:top w:val="nil"/>
              <w:left w:val="nil"/>
              <w:bottom w:val="single" w:sz="4" w:space="0" w:color="auto"/>
              <w:right w:val="single" w:sz="4" w:space="0" w:color="auto"/>
            </w:tcBorders>
            <w:shd w:val="clear" w:color="auto" w:fill="auto"/>
            <w:noWrap/>
            <w:vAlign w:val="bottom"/>
            <w:hideMark/>
          </w:tcPr>
          <w:p w14:paraId="3FF78F9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215</w:t>
            </w:r>
          </w:p>
        </w:tc>
        <w:tc>
          <w:tcPr>
            <w:tcW w:w="720" w:type="dxa"/>
            <w:tcBorders>
              <w:top w:val="nil"/>
              <w:left w:val="nil"/>
              <w:bottom w:val="single" w:sz="4" w:space="0" w:color="auto"/>
              <w:right w:val="single" w:sz="4" w:space="0" w:color="auto"/>
            </w:tcBorders>
            <w:shd w:val="clear" w:color="auto" w:fill="auto"/>
            <w:noWrap/>
            <w:vAlign w:val="bottom"/>
            <w:hideMark/>
          </w:tcPr>
          <w:p w14:paraId="174BCD3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210</w:t>
            </w:r>
          </w:p>
        </w:tc>
        <w:tc>
          <w:tcPr>
            <w:tcW w:w="720" w:type="dxa"/>
            <w:tcBorders>
              <w:top w:val="nil"/>
              <w:left w:val="nil"/>
              <w:bottom w:val="single" w:sz="4" w:space="0" w:color="auto"/>
              <w:right w:val="single" w:sz="4" w:space="0" w:color="auto"/>
            </w:tcBorders>
            <w:shd w:val="clear" w:color="auto" w:fill="auto"/>
            <w:noWrap/>
            <w:vAlign w:val="bottom"/>
            <w:hideMark/>
          </w:tcPr>
          <w:p w14:paraId="520BEC5A"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251</w:t>
            </w:r>
          </w:p>
        </w:tc>
        <w:tc>
          <w:tcPr>
            <w:tcW w:w="720" w:type="dxa"/>
            <w:tcBorders>
              <w:top w:val="nil"/>
              <w:left w:val="nil"/>
              <w:bottom w:val="single" w:sz="4" w:space="0" w:color="auto"/>
              <w:right w:val="single" w:sz="4" w:space="0" w:color="auto"/>
            </w:tcBorders>
            <w:shd w:val="clear" w:color="auto" w:fill="auto"/>
            <w:noWrap/>
            <w:vAlign w:val="bottom"/>
            <w:hideMark/>
          </w:tcPr>
          <w:p w14:paraId="2E7715D5"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182</w:t>
            </w:r>
          </w:p>
        </w:tc>
        <w:tc>
          <w:tcPr>
            <w:tcW w:w="720" w:type="dxa"/>
            <w:tcBorders>
              <w:top w:val="nil"/>
              <w:left w:val="nil"/>
              <w:bottom w:val="single" w:sz="4" w:space="0" w:color="auto"/>
              <w:right w:val="single" w:sz="4" w:space="0" w:color="auto"/>
            </w:tcBorders>
            <w:shd w:val="clear" w:color="auto" w:fill="auto"/>
            <w:noWrap/>
            <w:vAlign w:val="bottom"/>
            <w:hideMark/>
          </w:tcPr>
          <w:p w14:paraId="298D5DC1" w14:textId="77777777" w:rsidR="008D0E26" w:rsidRPr="00465EDF" w:rsidRDefault="008D0E26" w:rsidP="00B53F87">
            <w:pPr>
              <w:jc w:val="right"/>
              <w:rPr>
                <w:rFonts w:asciiTheme="minorHAnsi" w:hAnsiTheme="minorHAnsi"/>
              </w:rPr>
            </w:pPr>
            <w:r>
              <w:rPr>
                <w:rFonts w:ascii="Calibri" w:hAnsi="Calibri" w:cs="Calibri"/>
                <w:color w:val="000000"/>
                <w:sz w:val="22"/>
                <w:szCs w:val="22"/>
              </w:rPr>
              <w:t>226</w:t>
            </w:r>
          </w:p>
        </w:tc>
        <w:tc>
          <w:tcPr>
            <w:tcW w:w="663" w:type="dxa"/>
            <w:tcBorders>
              <w:top w:val="single" w:sz="4" w:space="0" w:color="auto"/>
              <w:left w:val="nil"/>
              <w:bottom w:val="single" w:sz="4" w:space="0" w:color="auto"/>
              <w:right w:val="single" w:sz="4" w:space="0" w:color="auto"/>
            </w:tcBorders>
            <w:shd w:val="clear" w:color="auto" w:fill="auto"/>
            <w:vAlign w:val="bottom"/>
          </w:tcPr>
          <w:p w14:paraId="2F5272A1" w14:textId="77777777" w:rsidR="008D0E26" w:rsidRPr="005653B4" w:rsidRDefault="008D0E26" w:rsidP="00B53F87">
            <w:pPr>
              <w:jc w:val="right"/>
              <w:rPr>
                <w:rFonts w:asciiTheme="minorHAnsi" w:hAnsiTheme="minorHAnsi"/>
              </w:rPr>
            </w:pPr>
            <w:r>
              <w:rPr>
                <w:rFonts w:ascii="Calibri" w:hAnsi="Calibri" w:cs="Calibri"/>
                <w:color w:val="000000"/>
                <w:sz w:val="22"/>
                <w:szCs w:val="22"/>
              </w:rPr>
              <w:t>354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9046934" w14:textId="77777777" w:rsidR="008D0E26" w:rsidRPr="00E46516" w:rsidRDefault="008D0E26" w:rsidP="00B53F87">
            <w:pPr>
              <w:jc w:val="right"/>
              <w:rPr>
                <w:rFonts w:ascii="Calibri" w:hAnsi="Calibri"/>
                <w:color w:val="000000"/>
                <w:sz w:val="22"/>
                <w:szCs w:val="22"/>
              </w:rPr>
            </w:pPr>
            <w:r>
              <w:rPr>
                <w:rFonts w:ascii="Calibri" w:hAnsi="Calibri" w:cs="Calibri"/>
                <w:color w:val="000000"/>
                <w:sz w:val="22"/>
                <w:szCs w:val="22"/>
              </w:rPr>
              <w:t> 246</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493C9" w14:textId="77777777" w:rsidR="008D0E26" w:rsidRPr="00E46516" w:rsidRDefault="008D0E26" w:rsidP="00B53F87">
            <w:pPr>
              <w:jc w:val="right"/>
              <w:rPr>
                <w:rFonts w:ascii="Calibri" w:hAnsi="Calibri"/>
                <w:color w:val="000000"/>
                <w:sz w:val="22"/>
                <w:szCs w:val="22"/>
              </w:rPr>
            </w:pPr>
            <w:r>
              <w:rPr>
                <w:rFonts w:ascii="Calibri" w:hAnsi="Calibri"/>
                <w:color w:val="000000"/>
                <w:sz w:val="22"/>
                <w:szCs w:val="22"/>
              </w:rPr>
              <w:t>-31%</w:t>
            </w:r>
          </w:p>
        </w:tc>
        <w:tc>
          <w:tcPr>
            <w:tcW w:w="943" w:type="dxa"/>
            <w:tcBorders>
              <w:top w:val="nil"/>
              <w:left w:val="nil"/>
              <w:bottom w:val="single" w:sz="4" w:space="0" w:color="auto"/>
              <w:right w:val="single" w:sz="4" w:space="0" w:color="auto"/>
            </w:tcBorders>
            <w:shd w:val="clear" w:color="auto" w:fill="auto"/>
            <w:noWrap/>
            <w:vAlign w:val="center"/>
          </w:tcPr>
          <w:p w14:paraId="26E639B9" w14:textId="77777777" w:rsidR="008D0E26" w:rsidRPr="00E46516" w:rsidRDefault="008D0E26" w:rsidP="00B53F87">
            <w:pPr>
              <w:jc w:val="right"/>
              <w:rPr>
                <w:rFonts w:ascii="Calibri" w:hAnsi="Calibri"/>
                <w:color w:val="000000"/>
                <w:sz w:val="22"/>
                <w:szCs w:val="22"/>
              </w:rPr>
            </w:pPr>
            <w:r>
              <w:rPr>
                <w:rFonts w:ascii="Calibri" w:hAnsi="Calibri"/>
                <w:color w:val="000000"/>
                <w:sz w:val="22"/>
                <w:szCs w:val="22"/>
              </w:rPr>
              <w:t>-4%</w:t>
            </w:r>
          </w:p>
        </w:tc>
      </w:tr>
      <w:tr w:rsidR="008D0E26" w:rsidRPr="00FA3821" w14:paraId="452EFEBC"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vAlign w:val="center"/>
            <w:hideMark/>
          </w:tcPr>
          <w:p w14:paraId="049EB244"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Dec</w:t>
            </w:r>
          </w:p>
        </w:tc>
        <w:tc>
          <w:tcPr>
            <w:tcW w:w="720" w:type="dxa"/>
            <w:tcBorders>
              <w:top w:val="nil"/>
              <w:left w:val="nil"/>
              <w:bottom w:val="single" w:sz="4" w:space="0" w:color="auto"/>
              <w:right w:val="single" w:sz="4" w:space="0" w:color="auto"/>
            </w:tcBorders>
            <w:shd w:val="clear" w:color="auto" w:fill="auto"/>
            <w:noWrap/>
            <w:vAlign w:val="bottom"/>
            <w:hideMark/>
          </w:tcPr>
          <w:p w14:paraId="572983B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182</w:t>
            </w:r>
          </w:p>
        </w:tc>
        <w:tc>
          <w:tcPr>
            <w:tcW w:w="720" w:type="dxa"/>
            <w:tcBorders>
              <w:top w:val="nil"/>
              <w:left w:val="nil"/>
              <w:bottom w:val="single" w:sz="4" w:space="0" w:color="auto"/>
              <w:right w:val="single" w:sz="4" w:space="0" w:color="auto"/>
            </w:tcBorders>
            <w:shd w:val="clear" w:color="auto" w:fill="auto"/>
            <w:noWrap/>
            <w:vAlign w:val="bottom"/>
            <w:hideMark/>
          </w:tcPr>
          <w:p w14:paraId="6EADDE7C"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234</w:t>
            </w:r>
          </w:p>
        </w:tc>
        <w:tc>
          <w:tcPr>
            <w:tcW w:w="720" w:type="dxa"/>
            <w:tcBorders>
              <w:top w:val="nil"/>
              <w:left w:val="nil"/>
              <w:bottom w:val="single" w:sz="4" w:space="0" w:color="auto"/>
              <w:right w:val="single" w:sz="4" w:space="0" w:color="auto"/>
            </w:tcBorders>
            <w:shd w:val="clear" w:color="auto" w:fill="auto"/>
            <w:noWrap/>
            <w:vAlign w:val="bottom"/>
            <w:hideMark/>
          </w:tcPr>
          <w:p w14:paraId="1F3D3C4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278</w:t>
            </w:r>
          </w:p>
        </w:tc>
        <w:tc>
          <w:tcPr>
            <w:tcW w:w="720" w:type="dxa"/>
            <w:tcBorders>
              <w:top w:val="nil"/>
              <w:left w:val="nil"/>
              <w:bottom w:val="single" w:sz="4" w:space="0" w:color="auto"/>
              <w:right w:val="single" w:sz="4" w:space="0" w:color="auto"/>
            </w:tcBorders>
            <w:shd w:val="clear" w:color="auto" w:fill="auto"/>
            <w:noWrap/>
            <w:vAlign w:val="bottom"/>
            <w:hideMark/>
          </w:tcPr>
          <w:p w14:paraId="0B3F1631"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178</w:t>
            </w:r>
          </w:p>
        </w:tc>
        <w:tc>
          <w:tcPr>
            <w:tcW w:w="720" w:type="dxa"/>
            <w:tcBorders>
              <w:top w:val="nil"/>
              <w:left w:val="nil"/>
              <w:bottom w:val="single" w:sz="4" w:space="0" w:color="auto"/>
              <w:right w:val="single" w:sz="4" w:space="0" w:color="auto"/>
            </w:tcBorders>
            <w:shd w:val="clear" w:color="auto" w:fill="auto"/>
            <w:noWrap/>
            <w:vAlign w:val="bottom"/>
            <w:hideMark/>
          </w:tcPr>
          <w:p w14:paraId="0E42FC78" w14:textId="77777777" w:rsidR="008D0E26" w:rsidRPr="00465EDF" w:rsidRDefault="008D0E26" w:rsidP="00B53F87">
            <w:pPr>
              <w:jc w:val="right"/>
              <w:rPr>
                <w:rFonts w:asciiTheme="minorHAnsi" w:hAnsiTheme="minorHAnsi"/>
              </w:rPr>
            </w:pPr>
            <w:r>
              <w:rPr>
                <w:rFonts w:ascii="Calibri" w:hAnsi="Calibri" w:cs="Calibri"/>
                <w:color w:val="000000"/>
                <w:sz w:val="22"/>
                <w:szCs w:val="22"/>
              </w:rPr>
              <w:t>258</w:t>
            </w:r>
          </w:p>
        </w:tc>
        <w:tc>
          <w:tcPr>
            <w:tcW w:w="663" w:type="dxa"/>
            <w:tcBorders>
              <w:top w:val="single" w:sz="4" w:space="0" w:color="auto"/>
              <w:left w:val="nil"/>
              <w:bottom w:val="single" w:sz="4" w:space="0" w:color="auto"/>
              <w:right w:val="single" w:sz="4" w:space="0" w:color="auto"/>
            </w:tcBorders>
            <w:shd w:val="clear" w:color="auto" w:fill="auto"/>
            <w:vAlign w:val="bottom"/>
          </w:tcPr>
          <w:p w14:paraId="3ADC3095" w14:textId="77777777" w:rsidR="008D0E26" w:rsidRPr="00705164" w:rsidRDefault="008D0E26" w:rsidP="00B53F87">
            <w:pPr>
              <w:jc w:val="right"/>
              <w:rPr>
                <w:rFonts w:ascii="Calibri" w:hAnsi="Calibri"/>
                <w:color w:val="000000"/>
              </w:rPr>
            </w:pPr>
            <w:r>
              <w:rPr>
                <w:rFonts w:ascii="Calibri" w:hAnsi="Calibri" w:cs="Calibri"/>
                <w:color w:val="000000"/>
                <w:sz w:val="22"/>
                <w:szCs w:val="22"/>
              </w:rPr>
              <w:t>364</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C408551" w14:textId="01CD61F0" w:rsidR="008D0E26" w:rsidRPr="00705164" w:rsidRDefault="008D0E26" w:rsidP="00B53F87">
            <w:pPr>
              <w:jc w:val="right"/>
              <w:rPr>
                <w:rFonts w:ascii="Calibri" w:hAnsi="Calibri"/>
                <w:color w:val="000000"/>
              </w:rPr>
            </w:pPr>
            <w:r>
              <w:rPr>
                <w:rFonts w:ascii="Calibri" w:hAnsi="Calibri" w:cs="Calibri"/>
                <w:color w:val="000000"/>
                <w:sz w:val="22"/>
                <w:szCs w:val="22"/>
              </w:rPr>
              <w:t> 225</w:t>
            </w:r>
          </w:p>
        </w:tc>
        <w:tc>
          <w:tcPr>
            <w:tcW w:w="9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474F50" w14:textId="6FD98CAB" w:rsidR="008D0E26" w:rsidRPr="008D0E26" w:rsidRDefault="008D0E26" w:rsidP="00B53F87">
            <w:pPr>
              <w:jc w:val="right"/>
              <w:rPr>
                <w:rFonts w:ascii="Calibri" w:hAnsi="Calibri"/>
                <w:color w:val="000000"/>
                <w:sz w:val="22"/>
              </w:rPr>
            </w:pPr>
            <w:r w:rsidRPr="008D0E26">
              <w:rPr>
                <w:rFonts w:ascii="Calibri" w:hAnsi="Calibri"/>
                <w:color w:val="000000"/>
                <w:sz w:val="22"/>
              </w:rPr>
              <w:t>-38%</w:t>
            </w:r>
          </w:p>
        </w:tc>
        <w:tc>
          <w:tcPr>
            <w:tcW w:w="943" w:type="dxa"/>
            <w:tcBorders>
              <w:top w:val="nil"/>
              <w:left w:val="nil"/>
              <w:bottom w:val="single" w:sz="4" w:space="0" w:color="auto"/>
              <w:right w:val="single" w:sz="4" w:space="0" w:color="auto"/>
            </w:tcBorders>
            <w:shd w:val="clear" w:color="auto" w:fill="auto"/>
            <w:noWrap/>
            <w:vAlign w:val="center"/>
          </w:tcPr>
          <w:p w14:paraId="44BA9690" w14:textId="3A9D3C0E" w:rsidR="008D0E26" w:rsidRPr="008D0E26" w:rsidRDefault="008D0E26" w:rsidP="00B53F87">
            <w:pPr>
              <w:jc w:val="right"/>
              <w:rPr>
                <w:rFonts w:ascii="Calibri" w:hAnsi="Calibri"/>
                <w:color w:val="000000"/>
                <w:sz w:val="22"/>
              </w:rPr>
            </w:pPr>
            <w:r w:rsidRPr="008D0E26">
              <w:rPr>
                <w:rFonts w:ascii="Calibri" w:hAnsi="Calibri"/>
                <w:color w:val="000000"/>
                <w:sz w:val="22"/>
              </w:rPr>
              <w:t>-9%</w:t>
            </w:r>
          </w:p>
        </w:tc>
      </w:tr>
    </w:tbl>
    <w:p w14:paraId="25B9BE21" w14:textId="36471602" w:rsidR="00B81458" w:rsidRDefault="00B81458" w:rsidP="008D0E26">
      <w:pPr>
        <w:tabs>
          <w:tab w:val="left" w:pos="3870"/>
        </w:tabs>
        <w:rPr>
          <w:rFonts w:ascii="Arial" w:hAnsi="Arial" w:cs="Arial"/>
          <w:bCs/>
          <w:sz w:val="22"/>
          <w:szCs w:val="22"/>
        </w:rPr>
      </w:pPr>
    </w:p>
    <w:p w14:paraId="61BFB38E" w14:textId="32944C3D" w:rsidR="00CF4448" w:rsidRDefault="008D0E26" w:rsidP="00CF4448">
      <w:pPr>
        <w:tabs>
          <w:tab w:val="left" w:pos="3870"/>
        </w:tabs>
        <w:jc w:val="center"/>
        <w:rPr>
          <w:rFonts w:ascii="Arial" w:hAnsi="Arial" w:cs="Arial"/>
          <w:bCs/>
          <w:sz w:val="22"/>
          <w:szCs w:val="22"/>
        </w:rPr>
      </w:pPr>
      <w:r>
        <w:rPr>
          <w:rFonts w:ascii="Arial" w:hAnsi="Arial" w:cs="Arial"/>
          <w:bCs/>
          <w:noProof/>
          <w:sz w:val="22"/>
          <w:szCs w:val="22"/>
          <w:lang w:val="en-CA" w:eastAsia="en-CA"/>
        </w:rPr>
        <w:lastRenderedPageBreak/>
        <w:drawing>
          <wp:inline distT="0" distB="0" distL="0" distR="0" wp14:anchorId="57ED3E8A" wp14:editId="57FD7C3E">
            <wp:extent cx="5206365" cy="39808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6365" cy="3980815"/>
                    </a:xfrm>
                    <a:prstGeom prst="rect">
                      <a:avLst/>
                    </a:prstGeom>
                    <a:noFill/>
                  </pic:spPr>
                </pic:pic>
              </a:graphicData>
            </a:graphic>
          </wp:inline>
        </w:drawing>
      </w:r>
    </w:p>
    <w:p w14:paraId="125837F0" w14:textId="77777777" w:rsidR="00B22511" w:rsidRDefault="00B22511" w:rsidP="00465EDF">
      <w:pPr>
        <w:jc w:val="center"/>
      </w:pPr>
    </w:p>
    <w:p w14:paraId="1D78519C" w14:textId="77777777" w:rsidR="008D0E26" w:rsidRDefault="00B22511" w:rsidP="008D0E26">
      <w:pPr>
        <w:jc w:val="center"/>
      </w:pPr>
      <w:r>
        <w:br w:type="page"/>
      </w:r>
      <w:r w:rsidR="008D0E26" w:rsidRPr="00FA3821">
        <w:rPr>
          <w:rFonts w:ascii="Calibri" w:hAnsi="Calibri" w:cs="Calibri"/>
          <w:b/>
          <w:bCs/>
          <w:color w:val="000000"/>
          <w:sz w:val="22"/>
          <w:szCs w:val="22"/>
          <w:lang w:val="en-CA" w:eastAsia="en-CA"/>
        </w:rPr>
        <w:lastRenderedPageBreak/>
        <w:t xml:space="preserve">TransCore Canadian Spot Market </w:t>
      </w:r>
      <w:r w:rsidR="008D0E26">
        <w:rPr>
          <w:rFonts w:ascii="Calibri" w:hAnsi="Calibri" w:cs="Calibri"/>
          <w:b/>
          <w:bCs/>
          <w:color w:val="000000"/>
          <w:sz w:val="22"/>
          <w:szCs w:val="22"/>
          <w:lang w:val="en-CA" w:eastAsia="en-CA"/>
        </w:rPr>
        <w:t>Truck</w:t>
      </w:r>
      <w:r w:rsidR="008D0E26" w:rsidRPr="00FA3821">
        <w:rPr>
          <w:rFonts w:ascii="Calibri" w:hAnsi="Calibri" w:cs="Calibri"/>
          <w:b/>
          <w:bCs/>
          <w:color w:val="000000"/>
          <w:sz w:val="22"/>
          <w:szCs w:val="22"/>
          <w:lang w:val="en-CA" w:eastAsia="en-CA"/>
        </w:rPr>
        <w:t xml:space="preserve"> Index 20</w:t>
      </w:r>
      <w:r w:rsidR="008D0E26">
        <w:rPr>
          <w:rFonts w:ascii="Calibri" w:hAnsi="Calibri" w:cs="Calibri"/>
          <w:b/>
          <w:bCs/>
          <w:color w:val="000000"/>
          <w:sz w:val="22"/>
          <w:szCs w:val="22"/>
          <w:lang w:val="en-CA" w:eastAsia="en-CA"/>
        </w:rPr>
        <w:t>12</w:t>
      </w:r>
      <w:r w:rsidR="008D0E26" w:rsidRPr="00FA3821">
        <w:rPr>
          <w:rFonts w:ascii="Calibri" w:hAnsi="Calibri" w:cs="Calibri"/>
          <w:b/>
          <w:bCs/>
          <w:color w:val="000000"/>
          <w:sz w:val="22"/>
          <w:szCs w:val="22"/>
          <w:lang w:val="en-CA" w:eastAsia="en-CA"/>
        </w:rPr>
        <w:t>-201</w:t>
      </w:r>
      <w:r w:rsidR="008D0E26">
        <w:rPr>
          <w:rFonts w:ascii="Calibri" w:hAnsi="Calibri" w:cs="Calibri"/>
          <w:b/>
          <w:bCs/>
          <w:color w:val="000000"/>
          <w:sz w:val="22"/>
          <w:szCs w:val="22"/>
          <w:lang w:val="en-CA" w:eastAsia="en-CA"/>
        </w:rPr>
        <w:t>8</w:t>
      </w:r>
    </w:p>
    <w:tbl>
      <w:tblPr>
        <w:tblW w:w="7799" w:type="dxa"/>
        <w:jc w:val="center"/>
        <w:tblLayout w:type="fixed"/>
        <w:tblLook w:val="04A0" w:firstRow="1" w:lastRow="0" w:firstColumn="1" w:lastColumn="0" w:noHBand="0" w:noVBand="1"/>
      </w:tblPr>
      <w:tblGrid>
        <w:gridCol w:w="762"/>
        <w:gridCol w:w="720"/>
        <w:gridCol w:w="720"/>
        <w:gridCol w:w="720"/>
        <w:gridCol w:w="720"/>
        <w:gridCol w:w="720"/>
        <w:gridCol w:w="663"/>
        <w:gridCol w:w="720"/>
        <w:gridCol w:w="1111"/>
        <w:gridCol w:w="943"/>
      </w:tblGrid>
      <w:tr w:rsidR="008D0E26" w:rsidRPr="00FA3821" w14:paraId="0450B50D" w14:textId="77777777" w:rsidTr="00B53F87">
        <w:trPr>
          <w:trHeight w:val="1020"/>
          <w:jc w:val="center"/>
        </w:trPr>
        <w:tc>
          <w:tcPr>
            <w:tcW w:w="76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BDF8E30" w14:textId="77777777" w:rsidR="008D0E26" w:rsidRPr="00057861" w:rsidRDefault="008D0E26" w:rsidP="00B53F87">
            <w:pPr>
              <w:jc w:val="center"/>
              <w:rPr>
                <w:rFonts w:asciiTheme="minorHAnsi" w:hAnsiTheme="minorHAnsi" w:cs="Calibri"/>
                <w:color w:val="000000"/>
                <w:lang w:val="en-CA" w:eastAsia="en-CA"/>
              </w:rPr>
            </w:pP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3A5E89F9"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2012</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57DFFAAF"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2013</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46A0F4A0"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2014</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27D56AEE" w14:textId="77777777" w:rsidR="008D0E26" w:rsidRPr="001E767F" w:rsidRDefault="008D0E26" w:rsidP="00B53F87">
            <w:pPr>
              <w:jc w:val="center"/>
              <w:rPr>
                <w:rFonts w:asciiTheme="minorHAnsi" w:hAnsiTheme="minorHAnsi" w:cs="Calibri"/>
                <w:color w:val="000000"/>
                <w:lang w:val="en-CA" w:eastAsia="en-CA"/>
              </w:rPr>
            </w:pPr>
            <w:r w:rsidRPr="001E767F">
              <w:rPr>
                <w:rFonts w:ascii="Calibri" w:hAnsi="Calibri" w:cs="Calibri"/>
                <w:bCs/>
                <w:color w:val="000000"/>
                <w:sz w:val="22"/>
                <w:szCs w:val="22"/>
              </w:rPr>
              <w:t>2015</w:t>
            </w:r>
          </w:p>
        </w:tc>
        <w:tc>
          <w:tcPr>
            <w:tcW w:w="720" w:type="dxa"/>
            <w:tcBorders>
              <w:top w:val="single" w:sz="4" w:space="0" w:color="auto"/>
              <w:left w:val="nil"/>
              <w:bottom w:val="single" w:sz="4" w:space="0" w:color="auto"/>
              <w:right w:val="single" w:sz="4" w:space="0" w:color="auto"/>
            </w:tcBorders>
            <w:shd w:val="clear" w:color="000000" w:fill="FFFF00"/>
            <w:noWrap/>
            <w:vAlign w:val="center"/>
            <w:hideMark/>
          </w:tcPr>
          <w:p w14:paraId="4173E6E8" w14:textId="77777777" w:rsidR="008D0E26" w:rsidRPr="001E767F" w:rsidRDefault="008D0E26" w:rsidP="00B53F87">
            <w:pPr>
              <w:jc w:val="center"/>
              <w:rPr>
                <w:rFonts w:asciiTheme="minorHAnsi" w:hAnsiTheme="minorHAnsi"/>
              </w:rPr>
            </w:pPr>
            <w:r w:rsidRPr="001E767F">
              <w:rPr>
                <w:rFonts w:ascii="Calibri" w:hAnsi="Calibri" w:cs="Calibri"/>
                <w:bCs/>
                <w:color w:val="000000"/>
                <w:sz w:val="22"/>
                <w:szCs w:val="22"/>
              </w:rPr>
              <w:t>2016</w:t>
            </w:r>
          </w:p>
        </w:tc>
        <w:tc>
          <w:tcPr>
            <w:tcW w:w="663" w:type="dxa"/>
            <w:tcBorders>
              <w:top w:val="single" w:sz="4" w:space="0" w:color="auto"/>
              <w:left w:val="nil"/>
              <w:bottom w:val="single" w:sz="4" w:space="0" w:color="auto"/>
              <w:right w:val="single" w:sz="4" w:space="0" w:color="auto"/>
            </w:tcBorders>
            <w:shd w:val="clear" w:color="000000" w:fill="FFFF00"/>
            <w:vAlign w:val="center"/>
          </w:tcPr>
          <w:p w14:paraId="166E1FD6" w14:textId="77777777" w:rsidR="008D0E26" w:rsidRPr="001E767F" w:rsidRDefault="008D0E26" w:rsidP="00B53F87">
            <w:pPr>
              <w:jc w:val="center"/>
              <w:rPr>
                <w:rFonts w:asciiTheme="minorHAnsi" w:hAnsiTheme="minorHAnsi"/>
              </w:rPr>
            </w:pPr>
            <w:r w:rsidRPr="001E767F">
              <w:rPr>
                <w:rFonts w:ascii="Calibri" w:hAnsi="Calibri" w:cs="Calibri"/>
                <w:bCs/>
                <w:color w:val="000000"/>
                <w:sz w:val="22"/>
                <w:szCs w:val="22"/>
              </w:rPr>
              <w:t>2017</w:t>
            </w:r>
          </w:p>
        </w:tc>
        <w:tc>
          <w:tcPr>
            <w:tcW w:w="720" w:type="dxa"/>
            <w:tcBorders>
              <w:top w:val="single" w:sz="4" w:space="0" w:color="auto"/>
              <w:left w:val="single" w:sz="4" w:space="0" w:color="auto"/>
              <w:bottom w:val="single" w:sz="4" w:space="0" w:color="auto"/>
              <w:right w:val="single" w:sz="4" w:space="0" w:color="auto"/>
            </w:tcBorders>
            <w:shd w:val="clear" w:color="000000" w:fill="FFFF00"/>
            <w:vAlign w:val="center"/>
          </w:tcPr>
          <w:p w14:paraId="19C80825" w14:textId="77777777" w:rsidR="008D0E26" w:rsidRPr="001E767F" w:rsidRDefault="008D0E26" w:rsidP="00B53F87">
            <w:pPr>
              <w:jc w:val="center"/>
              <w:rPr>
                <w:rFonts w:asciiTheme="minorHAnsi" w:hAnsiTheme="minorHAnsi"/>
                <w:lang w:val="fr-CA"/>
              </w:rPr>
            </w:pPr>
            <w:r w:rsidRPr="001E767F">
              <w:rPr>
                <w:rFonts w:ascii="Calibri" w:hAnsi="Calibri" w:cs="Calibri"/>
                <w:bCs/>
                <w:color w:val="000000"/>
                <w:sz w:val="22"/>
                <w:szCs w:val="22"/>
              </w:rPr>
              <w:t>2018</w:t>
            </w:r>
          </w:p>
        </w:tc>
        <w:tc>
          <w:tcPr>
            <w:tcW w:w="1111"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9ED3E26" w14:textId="77777777" w:rsidR="008D0E26" w:rsidRDefault="008D0E26" w:rsidP="00B53F87">
            <w:pPr>
              <w:jc w:val="center"/>
              <w:rPr>
                <w:rFonts w:asciiTheme="minorHAnsi" w:hAnsiTheme="minorHAnsi"/>
                <w:lang w:val="fr-CA"/>
              </w:rPr>
            </w:pPr>
            <w:r w:rsidRPr="009164FC">
              <w:rPr>
                <w:rFonts w:asciiTheme="minorHAnsi" w:hAnsiTheme="minorHAnsi"/>
                <w:sz w:val="22"/>
                <w:szCs w:val="22"/>
                <w:lang w:val="fr-CA"/>
              </w:rPr>
              <w:t xml:space="preserve">Percent Change </w:t>
            </w:r>
          </w:p>
          <w:p w14:paraId="0D75EEF5" w14:textId="77777777" w:rsidR="008D0E26" w:rsidRPr="009164FC" w:rsidRDefault="008D0E26" w:rsidP="00B53F87">
            <w:pPr>
              <w:jc w:val="center"/>
              <w:rPr>
                <w:rFonts w:asciiTheme="minorHAnsi" w:hAnsiTheme="minorHAnsi"/>
                <w:lang w:val="fr-CA"/>
              </w:rPr>
            </w:pPr>
            <w:r w:rsidRPr="009164FC">
              <w:rPr>
                <w:rFonts w:asciiTheme="minorHAnsi" w:hAnsiTheme="minorHAnsi"/>
                <w:sz w:val="22"/>
                <w:szCs w:val="22"/>
                <w:lang w:val="fr-CA"/>
              </w:rPr>
              <w:t>Y-O-Y</w:t>
            </w:r>
          </w:p>
        </w:tc>
        <w:tc>
          <w:tcPr>
            <w:tcW w:w="943"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005CD47F" w14:textId="77777777" w:rsidR="008D0E26" w:rsidRPr="00E46DE6" w:rsidRDefault="008D0E26" w:rsidP="00B53F87">
            <w:pPr>
              <w:jc w:val="center"/>
              <w:rPr>
                <w:rFonts w:asciiTheme="minorHAnsi" w:hAnsiTheme="minorHAnsi"/>
              </w:rPr>
            </w:pPr>
            <w:r w:rsidRPr="00057861">
              <w:rPr>
                <w:rFonts w:asciiTheme="minorHAnsi" w:hAnsiTheme="minorHAnsi"/>
                <w:sz w:val="22"/>
                <w:szCs w:val="22"/>
              </w:rPr>
              <w:t>Percent Change M-O-M</w:t>
            </w:r>
          </w:p>
        </w:tc>
      </w:tr>
      <w:tr w:rsidR="008D0E26" w:rsidRPr="003562D1" w14:paraId="6E4C9CE5"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273E6DF2"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Jan</w:t>
            </w:r>
          </w:p>
        </w:tc>
        <w:tc>
          <w:tcPr>
            <w:tcW w:w="720" w:type="dxa"/>
            <w:tcBorders>
              <w:top w:val="nil"/>
              <w:left w:val="nil"/>
              <w:bottom w:val="single" w:sz="4" w:space="0" w:color="auto"/>
              <w:right w:val="single" w:sz="4" w:space="0" w:color="auto"/>
            </w:tcBorders>
            <w:shd w:val="clear" w:color="auto" w:fill="auto"/>
            <w:noWrap/>
            <w:vAlign w:val="bottom"/>
          </w:tcPr>
          <w:p w14:paraId="210CA3E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107</w:t>
            </w:r>
          </w:p>
        </w:tc>
        <w:tc>
          <w:tcPr>
            <w:tcW w:w="720" w:type="dxa"/>
            <w:tcBorders>
              <w:top w:val="nil"/>
              <w:left w:val="nil"/>
              <w:bottom w:val="single" w:sz="4" w:space="0" w:color="auto"/>
              <w:right w:val="single" w:sz="4" w:space="0" w:color="auto"/>
            </w:tcBorders>
            <w:shd w:val="clear" w:color="auto" w:fill="auto"/>
            <w:noWrap/>
            <w:vAlign w:val="bottom"/>
          </w:tcPr>
          <w:p w14:paraId="7CF9D24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121</w:t>
            </w:r>
          </w:p>
        </w:tc>
        <w:tc>
          <w:tcPr>
            <w:tcW w:w="720" w:type="dxa"/>
            <w:tcBorders>
              <w:top w:val="nil"/>
              <w:left w:val="nil"/>
              <w:bottom w:val="single" w:sz="4" w:space="0" w:color="auto"/>
              <w:right w:val="single" w:sz="4" w:space="0" w:color="auto"/>
            </w:tcBorders>
            <w:shd w:val="clear" w:color="auto" w:fill="auto"/>
            <w:noWrap/>
            <w:vAlign w:val="bottom"/>
          </w:tcPr>
          <w:p w14:paraId="17045302"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104</w:t>
            </w:r>
          </w:p>
        </w:tc>
        <w:tc>
          <w:tcPr>
            <w:tcW w:w="720" w:type="dxa"/>
            <w:tcBorders>
              <w:top w:val="nil"/>
              <w:left w:val="nil"/>
              <w:bottom w:val="single" w:sz="4" w:space="0" w:color="auto"/>
              <w:right w:val="single" w:sz="4" w:space="0" w:color="auto"/>
            </w:tcBorders>
            <w:shd w:val="clear" w:color="auto" w:fill="auto"/>
            <w:noWrap/>
            <w:vAlign w:val="bottom"/>
          </w:tcPr>
          <w:p w14:paraId="1BF13CE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112</w:t>
            </w:r>
          </w:p>
        </w:tc>
        <w:tc>
          <w:tcPr>
            <w:tcW w:w="720" w:type="dxa"/>
            <w:tcBorders>
              <w:top w:val="nil"/>
              <w:left w:val="nil"/>
              <w:bottom w:val="single" w:sz="4" w:space="0" w:color="auto"/>
              <w:right w:val="single" w:sz="4" w:space="0" w:color="auto"/>
            </w:tcBorders>
            <w:shd w:val="clear" w:color="auto" w:fill="auto"/>
            <w:noWrap/>
            <w:vAlign w:val="bottom"/>
          </w:tcPr>
          <w:p w14:paraId="10BB6210" w14:textId="77777777" w:rsidR="008D0E26" w:rsidRPr="00744555" w:rsidRDefault="008D0E26" w:rsidP="00B53F87">
            <w:pPr>
              <w:jc w:val="right"/>
              <w:rPr>
                <w:rFonts w:asciiTheme="minorHAnsi" w:hAnsiTheme="minorHAnsi" w:cs="Calibri"/>
                <w:color w:val="000000"/>
                <w:sz w:val="22"/>
                <w:szCs w:val="22"/>
                <w:lang w:val="en-CA" w:eastAsia="en-CA"/>
              </w:rPr>
            </w:pPr>
            <w:r w:rsidRPr="00744555">
              <w:rPr>
                <w:rFonts w:asciiTheme="minorHAnsi" w:hAnsiTheme="minorHAnsi" w:cs="Calibri"/>
                <w:color w:val="000000"/>
                <w:sz w:val="22"/>
                <w:szCs w:val="22"/>
              </w:rPr>
              <w:t>144</w:t>
            </w:r>
          </w:p>
        </w:tc>
        <w:tc>
          <w:tcPr>
            <w:tcW w:w="663" w:type="dxa"/>
            <w:tcBorders>
              <w:top w:val="single" w:sz="4" w:space="0" w:color="auto"/>
              <w:left w:val="nil"/>
              <w:bottom w:val="single" w:sz="4" w:space="0" w:color="auto"/>
              <w:right w:val="single" w:sz="4" w:space="0" w:color="auto"/>
            </w:tcBorders>
            <w:vAlign w:val="bottom"/>
          </w:tcPr>
          <w:p w14:paraId="7FADACFE"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136</w:t>
            </w:r>
          </w:p>
        </w:tc>
        <w:tc>
          <w:tcPr>
            <w:tcW w:w="720" w:type="dxa"/>
            <w:tcBorders>
              <w:top w:val="single" w:sz="4" w:space="0" w:color="auto"/>
              <w:left w:val="single" w:sz="4" w:space="0" w:color="auto"/>
              <w:bottom w:val="single" w:sz="4" w:space="0" w:color="auto"/>
              <w:right w:val="single" w:sz="4" w:space="0" w:color="auto"/>
            </w:tcBorders>
            <w:vAlign w:val="center"/>
          </w:tcPr>
          <w:p w14:paraId="44D27A6B"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99</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354F" w14:textId="77777777" w:rsidR="008D0E26" w:rsidRPr="00744555" w:rsidRDefault="008D0E26" w:rsidP="00B53F87">
            <w:pPr>
              <w:jc w:val="right"/>
              <w:rPr>
                <w:rFonts w:asciiTheme="minorHAnsi" w:hAnsiTheme="minorHAnsi"/>
                <w:sz w:val="22"/>
                <w:szCs w:val="22"/>
              </w:rPr>
            </w:pPr>
            <w:r w:rsidRPr="00744555">
              <w:rPr>
                <w:rFonts w:asciiTheme="minorHAnsi" w:hAnsiTheme="minorHAnsi"/>
                <w:color w:val="000000"/>
                <w:sz w:val="22"/>
                <w:szCs w:val="22"/>
              </w:rPr>
              <w:t>-27%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CFAC1" w14:textId="77777777" w:rsidR="008D0E26" w:rsidRPr="00744555" w:rsidRDefault="008D0E26" w:rsidP="00B53F87">
            <w:pPr>
              <w:jc w:val="right"/>
              <w:rPr>
                <w:rFonts w:asciiTheme="minorHAnsi" w:hAnsiTheme="minorHAnsi"/>
                <w:sz w:val="22"/>
                <w:szCs w:val="22"/>
              </w:rPr>
            </w:pPr>
            <w:r w:rsidRPr="00744555">
              <w:rPr>
                <w:rFonts w:asciiTheme="minorHAnsi" w:hAnsiTheme="minorHAnsi"/>
                <w:color w:val="000000"/>
                <w:sz w:val="22"/>
                <w:szCs w:val="22"/>
              </w:rPr>
              <w:t>5%</w:t>
            </w:r>
          </w:p>
        </w:tc>
      </w:tr>
      <w:tr w:rsidR="008D0E26" w:rsidRPr="00FA3821" w14:paraId="15628673"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0C2BF4C8"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Feb</w:t>
            </w:r>
          </w:p>
        </w:tc>
        <w:tc>
          <w:tcPr>
            <w:tcW w:w="720" w:type="dxa"/>
            <w:tcBorders>
              <w:top w:val="nil"/>
              <w:left w:val="nil"/>
              <w:bottom w:val="single" w:sz="4" w:space="0" w:color="auto"/>
              <w:right w:val="single" w:sz="4" w:space="0" w:color="auto"/>
            </w:tcBorders>
            <w:shd w:val="clear" w:color="auto" w:fill="auto"/>
            <w:noWrap/>
            <w:vAlign w:val="bottom"/>
          </w:tcPr>
          <w:p w14:paraId="0D5A4C3D"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109</w:t>
            </w:r>
          </w:p>
        </w:tc>
        <w:tc>
          <w:tcPr>
            <w:tcW w:w="720" w:type="dxa"/>
            <w:tcBorders>
              <w:top w:val="nil"/>
              <w:left w:val="nil"/>
              <w:bottom w:val="single" w:sz="4" w:space="0" w:color="auto"/>
              <w:right w:val="single" w:sz="4" w:space="0" w:color="auto"/>
            </w:tcBorders>
            <w:shd w:val="clear" w:color="auto" w:fill="auto"/>
            <w:noWrap/>
            <w:vAlign w:val="bottom"/>
          </w:tcPr>
          <w:p w14:paraId="5C2B80B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114</w:t>
            </w:r>
          </w:p>
        </w:tc>
        <w:tc>
          <w:tcPr>
            <w:tcW w:w="720" w:type="dxa"/>
            <w:tcBorders>
              <w:top w:val="nil"/>
              <w:left w:val="nil"/>
              <w:bottom w:val="single" w:sz="4" w:space="0" w:color="auto"/>
              <w:right w:val="single" w:sz="4" w:space="0" w:color="auto"/>
            </w:tcBorders>
            <w:shd w:val="clear" w:color="auto" w:fill="auto"/>
            <w:noWrap/>
            <w:vAlign w:val="bottom"/>
          </w:tcPr>
          <w:p w14:paraId="0BF70F42"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95</w:t>
            </w:r>
          </w:p>
        </w:tc>
        <w:tc>
          <w:tcPr>
            <w:tcW w:w="720" w:type="dxa"/>
            <w:tcBorders>
              <w:top w:val="nil"/>
              <w:left w:val="nil"/>
              <w:bottom w:val="single" w:sz="4" w:space="0" w:color="auto"/>
              <w:right w:val="single" w:sz="4" w:space="0" w:color="auto"/>
            </w:tcBorders>
            <w:shd w:val="clear" w:color="auto" w:fill="auto"/>
            <w:noWrap/>
            <w:vAlign w:val="bottom"/>
          </w:tcPr>
          <w:p w14:paraId="201111B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110</w:t>
            </w:r>
          </w:p>
        </w:tc>
        <w:tc>
          <w:tcPr>
            <w:tcW w:w="720" w:type="dxa"/>
            <w:tcBorders>
              <w:top w:val="nil"/>
              <w:left w:val="nil"/>
              <w:bottom w:val="single" w:sz="4" w:space="0" w:color="auto"/>
              <w:right w:val="single" w:sz="4" w:space="0" w:color="auto"/>
            </w:tcBorders>
            <w:shd w:val="clear" w:color="auto" w:fill="auto"/>
            <w:noWrap/>
            <w:vAlign w:val="bottom"/>
          </w:tcPr>
          <w:p w14:paraId="49E1A944"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157</w:t>
            </w:r>
          </w:p>
        </w:tc>
        <w:tc>
          <w:tcPr>
            <w:tcW w:w="663" w:type="dxa"/>
            <w:tcBorders>
              <w:top w:val="single" w:sz="4" w:space="0" w:color="auto"/>
              <w:left w:val="nil"/>
              <w:bottom w:val="single" w:sz="4" w:space="0" w:color="auto"/>
              <w:right w:val="single" w:sz="4" w:space="0" w:color="auto"/>
            </w:tcBorders>
            <w:shd w:val="clear" w:color="auto" w:fill="auto"/>
            <w:vAlign w:val="bottom"/>
          </w:tcPr>
          <w:p w14:paraId="71278558"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130</w:t>
            </w:r>
          </w:p>
        </w:tc>
        <w:tc>
          <w:tcPr>
            <w:tcW w:w="720" w:type="dxa"/>
            <w:tcBorders>
              <w:top w:val="single" w:sz="4" w:space="0" w:color="auto"/>
              <w:left w:val="single" w:sz="4" w:space="0" w:color="auto"/>
              <w:bottom w:val="single" w:sz="4" w:space="0" w:color="auto"/>
              <w:right w:val="single" w:sz="4" w:space="0" w:color="auto"/>
            </w:tcBorders>
            <w:vAlign w:val="center"/>
          </w:tcPr>
          <w:p w14:paraId="1433738A" w14:textId="77777777" w:rsidR="008D0E26" w:rsidRPr="00744555" w:rsidDel="00E07910" w:rsidRDefault="008D0E26" w:rsidP="00B53F87">
            <w:pPr>
              <w:jc w:val="right"/>
              <w:rPr>
                <w:rFonts w:asciiTheme="minorHAnsi" w:hAnsiTheme="minorHAnsi"/>
                <w:sz w:val="22"/>
                <w:szCs w:val="22"/>
              </w:rPr>
            </w:pPr>
            <w:r w:rsidRPr="00744555">
              <w:rPr>
                <w:rFonts w:asciiTheme="minorHAnsi" w:eastAsiaTheme="minorEastAsia" w:hAnsiTheme="minorHAnsi" w:cs="Calibri"/>
                <w:color w:val="000000"/>
                <w:sz w:val="22"/>
                <w:szCs w:val="22"/>
                <w:lang w:eastAsia="zh-CN"/>
              </w:rPr>
              <w:t>90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41E45" w14:textId="77777777" w:rsidR="008D0E26" w:rsidRPr="00744555" w:rsidRDefault="008D0E26" w:rsidP="00B53F87">
            <w:pPr>
              <w:jc w:val="right"/>
              <w:rPr>
                <w:rFonts w:asciiTheme="minorHAnsi" w:hAnsiTheme="minorHAnsi"/>
                <w:sz w:val="22"/>
                <w:szCs w:val="22"/>
              </w:rPr>
            </w:pPr>
            <w:r w:rsidRPr="00744555">
              <w:rPr>
                <w:rFonts w:asciiTheme="minorHAnsi" w:eastAsiaTheme="minorEastAsia" w:hAnsiTheme="minorHAnsi"/>
                <w:sz w:val="22"/>
                <w:szCs w:val="22"/>
                <w:lang w:eastAsia="zh-CN"/>
              </w:rPr>
              <w:t>-30%</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A0C32" w14:textId="77777777" w:rsidR="008D0E26" w:rsidRPr="00744555" w:rsidRDefault="008D0E26" w:rsidP="00B53F87">
            <w:pPr>
              <w:jc w:val="right"/>
              <w:rPr>
                <w:rFonts w:asciiTheme="minorHAnsi" w:hAnsiTheme="minorHAnsi"/>
                <w:sz w:val="22"/>
                <w:szCs w:val="22"/>
              </w:rPr>
            </w:pPr>
            <w:r w:rsidRPr="00744555">
              <w:rPr>
                <w:rFonts w:asciiTheme="minorHAnsi" w:eastAsiaTheme="minorEastAsia" w:hAnsiTheme="minorHAnsi"/>
                <w:sz w:val="22"/>
                <w:szCs w:val="22"/>
                <w:lang w:eastAsia="zh-CN"/>
              </w:rPr>
              <w:t>-9%</w:t>
            </w:r>
          </w:p>
        </w:tc>
      </w:tr>
      <w:tr w:rsidR="008D0E26" w:rsidRPr="00FA3821" w14:paraId="4943597D"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FCCAAA9"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Mar</w:t>
            </w:r>
          </w:p>
        </w:tc>
        <w:tc>
          <w:tcPr>
            <w:tcW w:w="720" w:type="dxa"/>
            <w:tcBorders>
              <w:top w:val="nil"/>
              <w:left w:val="nil"/>
              <w:bottom w:val="single" w:sz="4" w:space="0" w:color="auto"/>
              <w:right w:val="single" w:sz="4" w:space="0" w:color="auto"/>
            </w:tcBorders>
            <w:shd w:val="clear" w:color="auto" w:fill="auto"/>
            <w:noWrap/>
            <w:vAlign w:val="bottom"/>
          </w:tcPr>
          <w:p w14:paraId="69BC2122"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114</w:t>
            </w:r>
          </w:p>
        </w:tc>
        <w:tc>
          <w:tcPr>
            <w:tcW w:w="720" w:type="dxa"/>
            <w:tcBorders>
              <w:top w:val="nil"/>
              <w:left w:val="nil"/>
              <w:bottom w:val="single" w:sz="4" w:space="0" w:color="auto"/>
              <w:right w:val="single" w:sz="4" w:space="0" w:color="auto"/>
            </w:tcBorders>
            <w:shd w:val="clear" w:color="auto" w:fill="auto"/>
            <w:noWrap/>
            <w:vAlign w:val="bottom"/>
          </w:tcPr>
          <w:p w14:paraId="71500C6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116</w:t>
            </w:r>
          </w:p>
        </w:tc>
        <w:tc>
          <w:tcPr>
            <w:tcW w:w="720" w:type="dxa"/>
            <w:tcBorders>
              <w:top w:val="nil"/>
              <w:left w:val="nil"/>
              <w:bottom w:val="single" w:sz="4" w:space="0" w:color="auto"/>
              <w:right w:val="single" w:sz="4" w:space="0" w:color="auto"/>
            </w:tcBorders>
            <w:shd w:val="clear" w:color="auto" w:fill="auto"/>
            <w:noWrap/>
            <w:vAlign w:val="bottom"/>
          </w:tcPr>
          <w:p w14:paraId="26F90A0A"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99</w:t>
            </w:r>
          </w:p>
        </w:tc>
        <w:tc>
          <w:tcPr>
            <w:tcW w:w="720" w:type="dxa"/>
            <w:tcBorders>
              <w:top w:val="nil"/>
              <w:left w:val="nil"/>
              <w:bottom w:val="single" w:sz="4" w:space="0" w:color="auto"/>
              <w:right w:val="single" w:sz="4" w:space="0" w:color="auto"/>
            </w:tcBorders>
            <w:shd w:val="clear" w:color="auto" w:fill="auto"/>
            <w:noWrap/>
            <w:vAlign w:val="bottom"/>
          </w:tcPr>
          <w:p w14:paraId="3B02D8B5"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127</w:t>
            </w:r>
          </w:p>
        </w:tc>
        <w:tc>
          <w:tcPr>
            <w:tcW w:w="720" w:type="dxa"/>
            <w:tcBorders>
              <w:top w:val="nil"/>
              <w:left w:val="nil"/>
              <w:bottom w:val="single" w:sz="4" w:space="0" w:color="auto"/>
              <w:right w:val="single" w:sz="4" w:space="0" w:color="auto"/>
            </w:tcBorders>
            <w:shd w:val="clear" w:color="auto" w:fill="auto"/>
            <w:noWrap/>
            <w:vAlign w:val="bottom"/>
          </w:tcPr>
          <w:p w14:paraId="77405EA2"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164</w:t>
            </w:r>
          </w:p>
        </w:tc>
        <w:tc>
          <w:tcPr>
            <w:tcW w:w="663" w:type="dxa"/>
            <w:tcBorders>
              <w:top w:val="single" w:sz="4" w:space="0" w:color="auto"/>
              <w:left w:val="nil"/>
              <w:bottom w:val="single" w:sz="4" w:space="0" w:color="auto"/>
              <w:right w:val="single" w:sz="4" w:space="0" w:color="auto"/>
            </w:tcBorders>
            <w:shd w:val="clear" w:color="auto" w:fill="auto"/>
            <w:vAlign w:val="bottom"/>
          </w:tcPr>
          <w:p w14:paraId="7B7B669B"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145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81C4EF4" w14:textId="77777777" w:rsidR="008D0E26" w:rsidRPr="00744555" w:rsidDel="00E07910" w:rsidRDefault="008D0E26" w:rsidP="00B53F87">
            <w:pPr>
              <w:jc w:val="right"/>
              <w:rPr>
                <w:rFonts w:asciiTheme="minorHAnsi" w:hAnsiTheme="minorHAnsi"/>
                <w:color w:val="000000"/>
                <w:sz w:val="22"/>
                <w:szCs w:val="22"/>
              </w:rPr>
            </w:pPr>
            <w:r>
              <w:rPr>
                <w:rFonts w:asciiTheme="minorHAnsi" w:hAnsiTheme="minorHAnsi" w:cs="Calibri"/>
                <w:color w:val="000000"/>
                <w:sz w:val="22"/>
                <w:szCs w:val="22"/>
              </w:rPr>
              <w:t>104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DD038"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-28%</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F9A533"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15%</w:t>
            </w:r>
          </w:p>
        </w:tc>
      </w:tr>
      <w:tr w:rsidR="008D0E26" w:rsidRPr="00FA3821" w14:paraId="4771C39D"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37CCEC16"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Apr</w:t>
            </w:r>
          </w:p>
        </w:tc>
        <w:tc>
          <w:tcPr>
            <w:tcW w:w="720" w:type="dxa"/>
            <w:tcBorders>
              <w:top w:val="nil"/>
              <w:left w:val="nil"/>
              <w:bottom w:val="single" w:sz="4" w:space="0" w:color="auto"/>
              <w:right w:val="single" w:sz="4" w:space="0" w:color="auto"/>
            </w:tcBorders>
            <w:shd w:val="clear" w:color="auto" w:fill="auto"/>
            <w:noWrap/>
            <w:vAlign w:val="bottom"/>
          </w:tcPr>
          <w:p w14:paraId="4B89D7B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110</w:t>
            </w:r>
          </w:p>
        </w:tc>
        <w:tc>
          <w:tcPr>
            <w:tcW w:w="720" w:type="dxa"/>
            <w:tcBorders>
              <w:top w:val="nil"/>
              <w:left w:val="nil"/>
              <w:bottom w:val="single" w:sz="4" w:space="0" w:color="auto"/>
              <w:right w:val="single" w:sz="4" w:space="0" w:color="auto"/>
            </w:tcBorders>
            <w:shd w:val="clear" w:color="auto" w:fill="auto"/>
            <w:noWrap/>
            <w:vAlign w:val="bottom"/>
          </w:tcPr>
          <w:p w14:paraId="02256B84"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123</w:t>
            </w:r>
          </w:p>
        </w:tc>
        <w:tc>
          <w:tcPr>
            <w:tcW w:w="720" w:type="dxa"/>
            <w:tcBorders>
              <w:top w:val="nil"/>
              <w:left w:val="nil"/>
              <w:bottom w:val="single" w:sz="4" w:space="0" w:color="auto"/>
              <w:right w:val="single" w:sz="4" w:space="0" w:color="auto"/>
            </w:tcBorders>
            <w:shd w:val="clear" w:color="auto" w:fill="auto"/>
            <w:noWrap/>
            <w:vAlign w:val="bottom"/>
          </w:tcPr>
          <w:p w14:paraId="709A46D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108</w:t>
            </w:r>
          </w:p>
        </w:tc>
        <w:tc>
          <w:tcPr>
            <w:tcW w:w="720" w:type="dxa"/>
            <w:tcBorders>
              <w:top w:val="nil"/>
              <w:left w:val="nil"/>
              <w:bottom w:val="single" w:sz="4" w:space="0" w:color="auto"/>
              <w:right w:val="single" w:sz="4" w:space="0" w:color="auto"/>
            </w:tcBorders>
            <w:shd w:val="clear" w:color="auto" w:fill="auto"/>
            <w:noWrap/>
            <w:vAlign w:val="bottom"/>
          </w:tcPr>
          <w:p w14:paraId="699DC16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142</w:t>
            </w:r>
          </w:p>
        </w:tc>
        <w:tc>
          <w:tcPr>
            <w:tcW w:w="720" w:type="dxa"/>
            <w:tcBorders>
              <w:top w:val="nil"/>
              <w:left w:val="nil"/>
              <w:bottom w:val="single" w:sz="4" w:space="0" w:color="auto"/>
              <w:right w:val="single" w:sz="4" w:space="0" w:color="auto"/>
            </w:tcBorders>
            <w:shd w:val="clear" w:color="auto" w:fill="auto"/>
            <w:noWrap/>
            <w:vAlign w:val="bottom"/>
          </w:tcPr>
          <w:p w14:paraId="6410E4C7"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164</w:t>
            </w:r>
          </w:p>
        </w:tc>
        <w:tc>
          <w:tcPr>
            <w:tcW w:w="663" w:type="dxa"/>
            <w:tcBorders>
              <w:top w:val="single" w:sz="4" w:space="0" w:color="auto"/>
              <w:left w:val="nil"/>
              <w:bottom w:val="single" w:sz="4" w:space="0" w:color="auto"/>
              <w:right w:val="single" w:sz="4" w:space="0" w:color="auto"/>
            </w:tcBorders>
            <w:shd w:val="clear" w:color="auto" w:fill="auto"/>
            <w:vAlign w:val="bottom"/>
          </w:tcPr>
          <w:p w14:paraId="7725A31F"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79EFCDA0"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121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06C95"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27AE7"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16%</w:t>
            </w:r>
          </w:p>
        </w:tc>
      </w:tr>
      <w:tr w:rsidR="008D0E26" w:rsidRPr="009439D8" w14:paraId="5CB7093F"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26A33C0"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May</w:t>
            </w:r>
          </w:p>
        </w:tc>
        <w:tc>
          <w:tcPr>
            <w:tcW w:w="720" w:type="dxa"/>
            <w:tcBorders>
              <w:top w:val="nil"/>
              <w:left w:val="nil"/>
              <w:bottom w:val="single" w:sz="4" w:space="0" w:color="auto"/>
              <w:right w:val="single" w:sz="4" w:space="0" w:color="auto"/>
            </w:tcBorders>
            <w:shd w:val="clear" w:color="auto" w:fill="auto"/>
            <w:noWrap/>
            <w:vAlign w:val="bottom"/>
          </w:tcPr>
          <w:p w14:paraId="6F504528"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121</w:t>
            </w:r>
          </w:p>
        </w:tc>
        <w:tc>
          <w:tcPr>
            <w:tcW w:w="720" w:type="dxa"/>
            <w:tcBorders>
              <w:top w:val="nil"/>
              <w:left w:val="nil"/>
              <w:bottom w:val="single" w:sz="4" w:space="0" w:color="auto"/>
              <w:right w:val="single" w:sz="4" w:space="0" w:color="auto"/>
            </w:tcBorders>
            <w:shd w:val="clear" w:color="auto" w:fill="auto"/>
            <w:noWrap/>
            <w:vAlign w:val="bottom"/>
          </w:tcPr>
          <w:p w14:paraId="757A0BD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20" w:type="dxa"/>
            <w:tcBorders>
              <w:top w:val="nil"/>
              <w:left w:val="nil"/>
              <w:bottom w:val="single" w:sz="4" w:space="0" w:color="auto"/>
              <w:right w:val="single" w:sz="4" w:space="0" w:color="auto"/>
            </w:tcBorders>
            <w:shd w:val="clear" w:color="auto" w:fill="auto"/>
            <w:noWrap/>
            <w:vAlign w:val="bottom"/>
          </w:tcPr>
          <w:p w14:paraId="6624F7C4"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112</w:t>
            </w:r>
          </w:p>
        </w:tc>
        <w:tc>
          <w:tcPr>
            <w:tcW w:w="720" w:type="dxa"/>
            <w:tcBorders>
              <w:top w:val="nil"/>
              <w:left w:val="nil"/>
              <w:bottom w:val="single" w:sz="4" w:space="0" w:color="auto"/>
              <w:right w:val="single" w:sz="4" w:space="0" w:color="auto"/>
            </w:tcBorders>
            <w:shd w:val="clear" w:color="auto" w:fill="auto"/>
            <w:noWrap/>
            <w:vAlign w:val="bottom"/>
          </w:tcPr>
          <w:p w14:paraId="3342111E"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140</w:t>
            </w:r>
          </w:p>
        </w:tc>
        <w:tc>
          <w:tcPr>
            <w:tcW w:w="720" w:type="dxa"/>
            <w:tcBorders>
              <w:top w:val="nil"/>
              <w:left w:val="nil"/>
              <w:bottom w:val="single" w:sz="4" w:space="0" w:color="auto"/>
              <w:right w:val="single" w:sz="4" w:space="0" w:color="auto"/>
            </w:tcBorders>
            <w:shd w:val="clear" w:color="auto" w:fill="auto"/>
            <w:noWrap/>
            <w:vAlign w:val="bottom"/>
          </w:tcPr>
          <w:p w14:paraId="0897697E"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663" w:type="dxa"/>
            <w:tcBorders>
              <w:top w:val="single" w:sz="4" w:space="0" w:color="auto"/>
              <w:left w:val="nil"/>
              <w:bottom w:val="single" w:sz="4" w:space="0" w:color="auto"/>
              <w:right w:val="single" w:sz="4" w:space="0" w:color="auto"/>
            </w:tcBorders>
            <w:shd w:val="clear" w:color="auto" w:fill="auto"/>
            <w:vAlign w:val="bottom"/>
          </w:tcPr>
          <w:p w14:paraId="33B6C617"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152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05DA267E"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141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363DA"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A5EE4"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17%</w:t>
            </w:r>
          </w:p>
        </w:tc>
      </w:tr>
      <w:tr w:rsidR="008D0E26" w:rsidRPr="00FA3821" w14:paraId="03408D26"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4EAAD78"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Jun</w:t>
            </w:r>
          </w:p>
        </w:tc>
        <w:tc>
          <w:tcPr>
            <w:tcW w:w="720" w:type="dxa"/>
            <w:tcBorders>
              <w:top w:val="nil"/>
              <w:left w:val="nil"/>
              <w:bottom w:val="single" w:sz="4" w:space="0" w:color="auto"/>
              <w:right w:val="single" w:sz="4" w:space="0" w:color="auto"/>
            </w:tcBorders>
            <w:shd w:val="clear" w:color="auto" w:fill="auto"/>
            <w:noWrap/>
            <w:vAlign w:val="bottom"/>
          </w:tcPr>
          <w:p w14:paraId="6A0DD0E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112</w:t>
            </w:r>
          </w:p>
        </w:tc>
        <w:tc>
          <w:tcPr>
            <w:tcW w:w="720" w:type="dxa"/>
            <w:tcBorders>
              <w:top w:val="nil"/>
              <w:left w:val="nil"/>
              <w:bottom w:val="single" w:sz="4" w:space="0" w:color="auto"/>
              <w:right w:val="single" w:sz="4" w:space="0" w:color="auto"/>
            </w:tcBorders>
            <w:shd w:val="clear" w:color="auto" w:fill="auto"/>
            <w:noWrap/>
            <w:vAlign w:val="bottom"/>
          </w:tcPr>
          <w:p w14:paraId="2F13EE95"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126</w:t>
            </w:r>
          </w:p>
        </w:tc>
        <w:tc>
          <w:tcPr>
            <w:tcW w:w="720" w:type="dxa"/>
            <w:tcBorders>
              <w:top w:val="nil"/>
              <w:left w:val="nil"/>
              <w:bottom w:val="single" w:sz="4" w:space="0" w:color="auto"/>
              <w:right w:val="single" w:sz="4" w:space="0" w:color="auto"/>
            </w:tcBorders>
            <w:shd w:val="clear" w:color="auto" w:fill="auto"/>
            <w:noWrap/>
            <w:vAlign w:val="bottom"/>
          </w:tcPr>
          <w:p w14:paraId="2AB49A9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111</w:t>
            </w:r>
          </w:p>
        </w:tc>
        <w:tc>
          <w:tcPr>
            <w:tcW w:w="720" w:type="dxa"/>
            <w:tcBorders>
              <w:top w:val="nil"/>
              <w:left w:val="nil"/>
              <w:bottom w:val="single" w:sz="4" w:space="0" w:color="auto"/>
              <w:right w:val="single" w:sz="4" w:space="0" w:color="auto"/>
            </w:tcBorders>
            <w:shd w:val="clear" w:color="auto" w:fill="auto"/>
            <w:noWrap/>
            <w:vAlign w:val="bottom"/>
          </w:tcPr>
          <w:p w14:paraId="6D9BE2EE"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151</w:t>
            </w:r>
          </w:p>
        </w:tc>
        <w:tc>
          <w:tcPr>
            <w:tcW w:w="720" w:type="dxa"/>
            <w:tcBorders>
              <w:top w:val="nil"/>
              <w:left w:val="nil"/>
              <w:bottom w:val="single" w:sz="4" w:space="0" w:color="auto"/>
              <w:right w:val="single" w:sz="4" w:space="0" w:color="auto"/>
            </w:tcBorders>
            <w:shd w:val="clear" w:color="auto" w:fill="auto"/>
            <w:noWrap/>
            <w:vAlign w:val="bottom"/>
          </w:tcPr>
          <w:p w14:paraId="105DAE43"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170</w:t>
            </w:r>
          </w:p>
        </w:tc>
        <w:tc>
          <w:tcPr>
            <w:tcW w:w="663" w:type="dxa"/>
            <w:tcBorders>
              <w:top w:val="single" w:sz="4" w:space="0" w:color="auto"/>
              <w:left w:val="nil"/>
              <w:bottom w:val="single" w:sz="4" w:space="0" w:color="auto"/>
              <w:right w:val="single" w:sz="4" w:space="0" w:color="auto"/>
            </w:tcBorders>
            <w:shd w:val="clear" w:color="auto" w:fill="auto"/>
            <w:vAlign w:val="bottom"/>
          </w:tcPr>
          <w:p w14:paraId="74F30618"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142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2A3DCB0B"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133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33672"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-7%</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C77E6"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-6%</w:t>
            </w:r>
          </w:p>
        </w:tc>
      </w:tr>
      <w:tr w:rsidR="008D0E26" w:rsidRPr="00FA3821" w14:paraId="7AFF3CCA"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5E738F12"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Jul</w:t>
            </w:r>
          </w:p>
        </w:tc>
        <w:tc>
          <w:tcPr>
            <w:tcW w:w="720" w:type="dxa"/>
            <w:tcBorders>
              <w:top w:val="nil"/>
              <w:left w:val="nil"/>
              <w:bottom w:val="single" w:sz="4" w:space="0" w:color="auto"/>
              <w:right w:val="single" w:sz="4" w:space="0" w:color="auto"/>
            </w:tcBorders>
            <w:shd w:val="clear" w:color="auto" w:fill="auto"/>
            <w:noWrap/>
            <w:vAlign w:val="bottom"/>
          </w:tcPr>
          <w:p w14:paraId="12447C1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122</w:t>
            </w:r>
          </w:p>
        </w:tc>
        <w:tc>
          <w:tcPr>
            <w:tcW w:w="720" w:type="dxa"/>
            <w:tcBorders>
              <w:top w:val="nil"/>
              <w:left w:val="nil"/>
              <w:bottom w:val="single" w:sz="4" w:space="0" w:color="auto"/>
              <w:right w:val="single" w:sz="4" w:space="0" w:color="auto"/>
            </w:tcBorders>
            <w:shd w:val="clear" w:color="auto" w:fill="auto"/>
            <w:noWrap/>
            <w:vAlign w:val="bottom"/>
          </w:tcPr>
          <w:p w14:paraId="68591A9A"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139</w:t>
            </w:r>
          </w:p>
        </w:tc>
        <w:tc>
          <w:tcPr>
            <w:tcW w:w="720" w:type="dxa"/>
            <w:tcBorders>
              <w:top w:val="nil"/>
              <w:left w:val="nil"/>
              <w:bottom w:val="single" w:sz="4" w:space="0" w:color="auto"/>
              <w:right w:val="single" w:sz="4" w:space="0" w:color="auto"/>
            </w:tcBorders>
            <w:shd w:val="clear" w:color="auto" w:fill="auto"/>
            <w:noWrap/>
            <w:vAlign w:val="bottom"/>
          </w:tcPr>
          <w:p w14:paraId="3D5E7224"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20" w:type="dxa"/>
            <w:tcBorders>
              <w:top w:val="nil"/>
              <w:left w:val="nil"/>
              <w:bottom w:val="single" w:sz="4" w:space="0" w:color="auto"/>
              <w:right w:val="single" w:sz="4" w:space="0" w:color="auto"/>
            </w:tcBorders>
            <w:shd w:val="clear" w:color="auto" w:fill="auto"/>
            <w:noWrap/>
            <w:vAlign w:val="bottom"/>
          </w:tcPr>
          <w:p w14:paraId="6B4DB401"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166</w:t>
            </w:r>
          </w:p>
        </w:tc>
        <w:tc>
          <w:tcPr>
            <w:tcW w:w="720" w:type="dxa"/>
            <w:tcBorders>
              <w:top w:val="nil"/>
              <w:left w:val="nil"/>
              <w:bottom w:val="single" w:sz="4" w:space="0" w:color="auto"/>
              <w:right w:val="single" w:sz="4" w:space="0" w:color="auto"/>
            </w:tcBorders>
            <w:shd w:val="clear" w:color="auto" w:fill="auto"/>
            <w:noWrap/>
            <w:vAlign w:val="bottom"/>
          </w:tcPr>
          <w:p w14:paraId="1EFF7DE8"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162</w:t>
            </w:r>
          </w:p>
        </w:tc>
        <w:tc>
          <w:tcPr>
            <w:tcW w:w="663" w:type="dxa"/>
            <w:tcBorders>
              <w:top w:val="single" w:sz="4" w:space="0" w:color="auto"/>
              <w:left w:val="nil"/>
              <w:bottom w:val="single" w:sz="4" w:space="0" w:color="auto"/>
              <w:right w:val="single" w:sz="4" w:space="0" w:color="auto"/>
            </w:tcBorders>
            <w:shd w:val="clear" w:color="auto" w:fill="auto"/>
            <w:vAlign w:val="bottom"/>
          </w:tcPr>
          <w:p w14:paraId="4A8DE45A"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137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07E3DF1"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158</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1B19F2"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15%</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F3920"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19%</w:t>
            </w:r>
          </w:p>
        </w:tc>
      </w:tr>
      <w:tr w:rsidR="008D0E26" w:rsidRPr="00FA3821" w14:paraId="1958C604"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2CCC0C1E"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Aug</w:t>
            </w:r>
          </w:p>
        </w:tc>
        <w:tc>
          <w:tcPr>
            <w:tcW w:w="720" w:type="dxa"/>
            <w:tcBorders>
              <w:top w:val="nil"/>
              <w:left w:val="nil"/>
              <w:bottom w:val="single" w:sz="4" w:space="0" w:color="auto"/>
              <w:right w:val="single" w:sz="4" w:space="0" w:color="auto"/>
            </w:tcBorders>
            <w:shd w:val="clear" w:color="auto" w:fill="auto"/>
            <w:noWrap/>
            <w:vAlign w:val="bottom"/>
          </w:tcPr>
          <w:p w14:paraId="2AF9A2C2"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126</w:t>
            </w:r>
          </w:p>
        </w:tc>
        <w:tc>
          <w:tcPr>
            <w:tcW w:w="720" w:type="dxa"/>
            <w:tcBorders>
              <w:top w:val="nil"/>
              <w:left w:val="nil"/>
              <w:bottom w:val="single" w:sz="4" w:space="0" w:color="auto"/>
              <w:right w:val="single" w:sz="4" w:space="0" w:color="auto"/>
            </w:tcBorders>
            <w:shd w:val="clear" w:color="auto" w:fill="auto"/>
            <w:noWrap/>
            <w:vAlign w:val="bottom"/>
          </w:tcPr>
          <w:p w14:paraId="45E5A75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134</w:t>
            </w:r>
          </w:p>
        </w:tc>
        <w:tc>
          <w:tcPr>
            <w:tcW w:w="720" w:type="dxa"/>
            <w:tcBorders>
              <w:top w:val="nil"/>
              <w:left w:val="nil"/>
              <w:bottom w:val="single" w:sz="4" w:space="0" w:color="auto"/>
              <w:right w:val="single" w:sz="4" w:space="0" w:color="auto"/>
            </w:tcBorders>
            <w:shd w:val="clear" w:color="auto" w:fill="auto"/>
            <w:noWrap/>
            <w:vAlign w:val="bottom"/>
          </w:tcPr>
          <w:p w14:paraId="1652B883"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117</w:t>
            </w:r>
          </w:p>
        </w:tc>
        <w:tc>
          <w:tcPr>
            <w:tcW w:w="720" w:type="dxa"/>
            <w:tcBorders>
              <w:top w:val="nil"/>
              <w:left w:val="nil"/>
              <w:bottom w:val="single" w:sz="4" w:space="0" w:color="auto"/>
              <w:right w:val="single" w:sz="4" w:space="0" w:color="auto"/>
            </w:tcBorders>
            <w:shd w:val="clear" w:color="auto" w:fill="auto"/>
            <w:noWrap/>
            <w:vAlign w:val="bottom"/>
          </w:tcPr>
          <w:p w14:paraId="7E7D3AA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155</w:t>
            </w:r>
          </w:p>
        </w:tc>
        <w:tc>
          <w:tcPr>
            <w:tcW w:w="720" w:type="dxa"/>
            <w:tcBorders>
              <w:top w:val="nil"/>
              <w:left w:val="nil"/>
              <w:bottom w:val="single" w:sz="4" w:space="0" w:color="auto"/>
              <w:right w:val="single" w:sz="4" w:space="0" w:color="auto"/>
            </w:tcBorders>
            <w:shd w:val="clear" w:color="auto" w:fill="auto"/>
            <w:noWrap/>
            <w:vAlign w:val="bottom"/>
          </w:tcPr>
          <w:p w14:paraId="253EFF71"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179</w:t>
            </w:r>
          </w:p>
        </w:tc>
        <w:tc>
          <w:tcPr>
            <w:tcW w:w="663" w:type="dxa"/>
            <w:tcBorders>
              <w:top w:val="single" w:sz="4" w:space="0" w:color="auto"/>
              <w:left w:val="nil"/>
              <w:bottom w:val="single" w:sz="4" w:space="0" w:color="auto"/>
              <w:right w:val="single" w:sz="4" w:space="0" w:color="auto"/>
            </w:tcBorders>
            <w:shd w:val="clear" w:color="auto" w:fill="auto"/>
            <w:vAlign w:val="bottom"/>
          </w:tcPr>
          <w:p w14:paraId="7CDA5A81"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149</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FCEF981" w14:textId="77777777" w:rsidR="008D0E26" w:rsidRPr="00744555" w:rsidDel="00E07910" w:rsidRDefault="008D0E26" w:rsidP="00B53F87">
            <w:pPr>
              <w:jc w:val="right"/>
              <w:rPr>
                <w:rFonts w:asciiTheme="minorHAnsi" w:hAnsiTheme="minorHAnsi"/>
                <w:color w:val="000000"/>
                <w:sz w:val="22"/>
                <w:szCs w:val="22"/>
              </w:rPr>
            </w:pPr>
            <w:r>
              <w:rPr>
                <w:rFonts w:asciiTheme="minorHAnsi" w:hAnsiTheme="minorHAnsi" w:cs="Calibri"/>
                <w:color w:val="000000"/>
                <w:sz w:val="22"/>
                <w:szCs w:val="22"/>
              </w:rPr>
              <w:t>172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6A068"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15%</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487C2"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9%</w:t>
            </w:r>
          </w:p>
        </w:tc>
      </w:tr>
      <w:tr w:rsidR="008D0E26" w:rsidRPr="00FA3821" w14:paraId="4D956867"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DB14531"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Sep</w:t>
            </w:r>
          </w:p>
        </w:tc>
        <w:tc>
          <w:tcPr>
            <w:tcW w:w="720" w:type="dxa"/>
            <w:tcBorders>
              <w:top w:val="nil"/>
              <w:left w:val="nil"/>
              <w:bottom w:val="single" w:sz="4" w:space="0" w:color="auto"/>
              <w:right w:val="single" w:sz="4" w:space="0" w:color="auto"/>
            </w:tcBorders>
            <w:shd w:val="clear" w:color="auto" w:fill="auto"/>
            <w:noWrap/>
            <w:vAlign w:val="bottom"/>
          </w:tcPr>
          <w:p w14:paraId="14B85C6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111</w:t>
            </w:r>
          </w:p>
        </w:tc>
        <w:tc>
          <w:tcPr>
            <w:tcW w:w="720" w:type="dxa"/>
            <w:tcBorders>
              <w:top w:val="nil"/>
              <w:left w:val="nil"/>
              <w:bottom w:val="single" w:sz="4" w:space="0" w:color="auto"/>
              <w:right w:val="single" w:sz="4" w:space="0" w:color="auto"/>
            </w:tcBorders>
            <w:shd w:val="clear" w:color="auto" w:fill="auto"/>
            <w:noWrap/>
            <w:vAlign w:val="bottom"/>
          </w:tcPr>
          <w:p w14:paraId="7FBE32D5"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127</w:t>
            </w:r>
          </w:p>
        </w:tc>
        <w:tc>
          <w:tcPr>
            <w:tcW w:w="720" w:type="dxa"/>
            <w:tcBorders>
              <w:top w:val="nil"/>
              <w:left w:val="nil"/>
              <w:bottom w:val="single" w:sz="4" w:space="0" w:color="auto"/>
              <w:right w:val="single" w:sz="4" w:space="0" w:color="auto"/>
            </w:tcBorders>
            <w:shd w:val="clear" w:color="auto" w:fill="auto"/>
            <w:noWrap/>
            <w:vAlign w:val="bottom"/>
          </w:tcPr>
          <w:p w14:paraId="3EB11DE6"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122</w:t>
            </w:r>
          </w:p>
        </w:tc>
        <w:tc>
          <w:tcPr>
            <w:tcW w:w="720" w:type="dxa"/>
            <w:tcBorders>
              <w:top w:val="nil"/>
              <w:left w:val="nil"/>
              <w:bottom w:val="single" w:sz="4" w:space="0" w:color="auto"/>
              <w:right w:val="single" w:sz="4" w:space="0" w:color="auto"/>
            </w:tcBorders>
            <w:shd w:val="clear" w:color="auto" w:fill="auto"/>
            <w:noWrap/>
            <w:vAlign w:val="bottom"/>
          </w:tcPr>
          <w:p w14:paraId="2BD4D89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158</w:t>
            </w:r>
          </w:p>
        </w:tc>
        <w:tc>
          <w:tcPr>
            <w:tcW w:w="720" w:type="dxa"/>
            <w:tcBorders>
              <w:top w:val="nil"/>
              <w:left w:val="nil"/>
              <w:bottom w:val="single" w:sz="4" w:space="0" w:color="auto"/>
              <w:right w:val="single" w:sz="4" w:space="0" w:color="auto"/>
            </w:tcBorders>
            <w:shd w:val="clear" w:color="auto" w:fill="auto"/>
            <w:noWrap/>
            <w:vAlign w:val="bottom"/>
          </w:tcPr>
          <w:p w14:paraId="1F862978"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663" w:type="dxa"/>
            <w:tcBorders>
              <w:top w:val="single" w:sz="4" w:space="0" w:color="auto"/>
              <w:left w:val="nil"/>
              <w:bottom w:val="single" w:sz="4" w:space="0" w:color="auto"/>
              <w:right w:val="single" w:sz="4" w:space="0" w:color="auto"/>
            </w:tcBorders>
            <w:shd w:val="clear" w:color="auto" w:fill="auto"/>
            <w:vAlign w:val="bottom"/>
          </w:tcPr>
          <w:p w14:paraId="78F1A9CC"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132</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A0BE2B4"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154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050D4C"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16%</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C0AC2"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-11%</w:t>
            </w:r>
          </w:p>
        </w:tc>
      </w:tr>
      <w:tr w:rsidR="008D0E26" w:rsidRPr="00FA3821" w14:paraId="0690B03F"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7D30C89"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Oct</w:t>
            </w:r>
          </w:p>
        </w:tc>
        <w:tc>
          <w:tcPr>
            <w:tcW w:w="720" w:type="dxa"/>
            <w:tcBorders>
              <w:top w:val="nil"/>
              <w:left w:val="nil"/>
              <w:bottom w:val="single" w:sz="4" w:space="0" w:color="auto"/>
              <w:right w:val="single" w:sz="4" w:space="0" w:color="auto"/>
            </w:tcBorders>
            <w:shd w:val="clear" w:color="auto" w:fill="auto"/>
            <w:noWrap/>
            <w:vAlign w:val="bottom"/>
          </w:tcPr>
          <w:p w14:paraId="7694CAC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134</w:t>
            </w:r>
          </w:p>
        </w:tc>
        <w:tc>
          <w:tcPr>
            <w:tcW w:w="720" w:type="dxa"/>
            <w:tcBorders>
              <w:top w:val="nil"/>
              <w:left w:val="nil"/>
              <w:bottom w:val="single" w:sz="4" w:space="0" w:color="auto"/>
              <w:right w:val="single" w:sz="4" w:space="0" w:color="auto"/>
            </w:tcBorders>
            <w:shd w:val="clear" w:color="auto" w:fill="auto"/>
            <w:noWrap/>
            <w:vAlign w:val="bottom"/>
          </w:tcPr>
          <w:p w14:paraId="4534C4A8"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139</w:t>
            </w:r>
          </w:p>
        </w:tc>
        <w:tc>
          <w:tcPr>
            <w:tcW w:w="720" w:type="dxa"/>
            <w:tcBorders>
              <w:top w:val="nil"/>
              <w:left w:val="nil"/>
              <w:bottom w:val="single" w:sz="4" w:space="0" w:color="auto"/>
              <w:right w:val="single" w:sz="4" w:space="0" w:color="auto"/>
            </w:tcBorders>
            <w:shd w:val="clear" w:color="auto" w:fill="auto"/>
            <w:noWrap/>
            <w:vAlign w:val="bottom"/>
          </w:tcPr>
          <w:p w14:paraId="14694510"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130</w:t>
            </w:r>
          </w:p>
        </w:tc>
        <w:tc>
          <w:tcPr>
            <w:tcW w:w="720" w:type="dxa"/>
            <w:tcBorders>
              <w:top w:val="nil"/>
              <w:left w:val="nil"/>
              <w:bottom w:val="single" w:sz="4" w:space="0" w:color="auto"/>
              <w:right w:val="single" w:sz="4" w:space="0" w:color="auto"/>
            </w:tcBorders>
            <w:shd w:val="clear" w:color="auto" w:fill="auto"/>
            <w:noWrap/>
            <w:vAlign w:val="bottom"/>
          </w:tcPr>
          <w:p w14:paraId="258B3D1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164</w:t>
            </w:r>
          </w:p>
        </w:tc>
        <w:tc>
          <w:tcPr>
            <w:tcW w:w="720" w:type="dxa"/>
            <w:tcBorders>
              <w:top w:val="nil"/>
              <w:left w:val="nil"/>
              <w:bottom w:val="single" w:sz="4" w:space="0" w:color="auto"/>
              <w:right w:val="single" w:sz="4" w:space="0" w:color="auto"/>
            </w:tcBorders>
            <w:shd w:val="clear" w:color="auto" w:fill="auto"/>
            <w:noWrap/>
            <w:vAlign w:val="bottom"/>
          </w:tcPr>
          <w:p w14:paraId="69B3AA17"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161</w:t>
            </w:r>
          </w:p>
        </w:tc>
        <w:tc>
          <w:tcPr>
            <w:tcW w:w="663" w:type="dxa"/>
            <w:tcBorders>
              <w:top w:val="single" w:sz="4" w:space="0" w:color="auto"/>
              <w:left w:val="nil"/>
              <w:bottom w:val="single" w:sz="4" w:space="0" w:color="auto"/>
              <w:right w:val="single" w:sz="4" w:space="0" w:color="auto"/>
            </w:tcBorders>
            <w:shd w:val="clear" w:color="auto" w:fill="auto"/>
            <w:vAlign w:val="bottom"/>
          </w:tcPr>
          <w:p w14:paraId="2C913589"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138</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59BF81F0"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189</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E8C4BB"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36%</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D00D07"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22%</w:t>
            </w:r>
          </w:p>
        </w:tc>
      </w:tr>
      <w:tr w:rsidR="008D0E26" w:rsidRPr="00FA3821" w14:paraId="72559651"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77C6072C"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Nov</w:t>
            </w:r>
          </w:p>
        </w:tc>
        <w:tc>
          <w:tcPr>
            <w:tcW w:w="720" w:type="dxa"/>
            <w:tcBorders>
              <w:top w:val="nil"/>
              <w:left w:val="nil"/>
              <w:bottom w:val="single" w:sz="4" w:space="0" w:color="auto"/>
              <w:right w:val="single" w:sz="4" w:space="0" w:color="auto"/>
            </w:tcBorders>
            <w:shd w:val="clear" w:color="auto" w:fill="auto"/>
            <w:noWrap/>
            <w:vAlign w:val="bottom"/>
          </w:tcPr>
          <w:p w14:paraId="030E1C3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127</w:t>
            </w:r>
          </w:p>
        </w:tc>
        <w:tc>
          <w:tcPr>
            <w:tcW w:w="720" w:type="dxa"/>
            <w:tcBorders>
              <w:top w:val="nil"/>
              <w:left w:val="nil"/>
              <w:bottom w:val="single" w:sz="4" w:space="0" w:color="auto"/>
              <w:right w:val="single" w:sz="4" w:space="0" w:color="auto"/>
            </w:tcBorders>
            <w:shd w:val="clear" w:color="auto" w:fill="auto"/>
            <w:noWrap/>
            <w:vAlign w:val="bottom"/>
          </w:tcPr>
          <w:p w14:paraId="4F5D664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125</w:t>
            </w:r>
          </w:p>
        </w:tc>
        <w:tc>
          <w:tcPr>
            <w:tcW w:w="720" w:type="dxa"/>
            <w:tcBorders>
              <w:top w:val="nil"/>
              <w:left w:val="nil"/>
              <w:bottom w:val="single" w:sz="4" w:space="0" w:color="auto"/>
              <w:right w:val="single" w:sz="4" w:space="0" w:color="auto"/>
            </w:tcBorders>
            <w:shd w:val="clear" w:color="auto" w:fill="auto"/>
            <w:noWrap/>
            <w:vAlign w:val="bottom"/>
          </w:tcPr>
          <w:p w14:paraId="4D29E579"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115</w:t>
            </w:r>
          </w:p>
        </w:tc>
        <w:tc>
          <w:tcPr>
            <w:tcW w:w="720" w:type="dxa"/>
            <w:tcBorders>
              <w:top w:val="nil"/>
              <w:left w:val="nil"/>
              <w:bottom w:val="single" w:sz="4" w:space="0" w:color="auto"/>
              <w:right w:val="single" w:sz="4" w:space="0" w:color="auto"/>
            </w:tcBorders>
            <w:shd w:val="clear" w:color="auto" w:fill="auto"/>
            <w:noWrap/>
            <w:vAlign w:val="bottom"/>
          </w:tcPr>
          <w:p w14:paraId="5B55337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159</w:t>
            </w:r>
          </w:p>
        </w:tc>
        <w:tc>
          <w:tcPr>
            <w:tcW w:w="720" w:type="dxa"/>
            <w:tcBorders>
              <w:top w:val="nil"/>
              <w:left w:val="nil"/>
              <w:bottom w:val="single" w:sz="4" w:space="0" w:color="auto"/>
              <w:right w:val="single" w:sz="4" w:space="0" w:color="auto"/>
            </w:tcBorders>
            <w:shd w:val="clear" w:color="auto" w:fill="auto"/>
            <w:noWrap/>
            <w:vAlign w:val="bottom"/>
          </w:tcPr>
          <w:p w14:paraId="6EA43445"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163</w:t>
            </w:r>
          </w:p>
        </w:tc>
        <w:tc>
          <w:tcPr>
            <w:tcW w:w="663" w:type="dxa"/>
            <w:tcBorders>
              <w:top w:val="single" w:sz="4" w:space="0" w:color="auto"/>
              <w:left w:val="nil"/>
              <w:bottom w:val="single" w:sz="4" w:space="0" w:color="auto"/>
              <w:right w:val="single" w:sz="4" w:space="0" w:color="auto"/>
            </w:tcBorders>
            <w:shd w:val="clear" w:color="auto" w:fill="auto"/>
            <w:vAlign w:val="bottom"/>
          </w:tcPr>
          <w:p w14:paraId="2C762551"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130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4B825DC8" w14:textId="77777777"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179</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494D3"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38%</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E5452" w14:textId="77777777"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-5%</w:t>
            </w:r>
          </w:p>
        </w:tc>
      </w:tr>
      <w:tr w:rsidR="008D0E26" w:rsidRPr="00FA3821" w14:paraId="12B29CCF" w14:textId="77777777" w:rsidTr="00B53F87">
        <w:trPr>
          <w:trHeight w:val="300"/>
          <w:jc w:val="center"/>
        </w:trPr>
        <w:tc>
          <w:tcPr>
            <w:tcW w:w="762" w:type="dxa"/>
            <w:tcBorders>
              <w:top w:val="nil"/>
              <w:left w:val="single" w:sz="4" w:space="0" w:color="auto"/>
              <w:bottom w:val="single" w:sz="4" w:space="0" w:color="auto"/>
              <w:right w:val="single" w:sz="4" w:space="0" w:color="auto"/>
            </w:tcBorders>
            <w:shd w:val="clear" w:color="auto" w:fill="auto"/>
            <w:noWrap/>
            <w:hideMark/>
          </w:tcPr>
          <w:p w14:paraId="58749B09" w14:textId="77777777" w:rsidR="008D0E26" w:rsidRPr="00057861" w:rsidRDefault="008D0E26" w:rsidP="00B53F87">
            <w:pPr>
              <w:rPr>
                <w:rFonts w:asciiTheme="minorHAnsi" w:hAnsiTheme="minorHAnsi" w:cs="Calibri"/>
                <w:color w:val="000000"/>
                <w:lang w:val="en-CA" w:eastAsia="en-CA"/>
              </w:rPr>
            </w:pPr>
            <w:r w:rsidRPr="00057861">
              <w:rPr>
                <w:rFonts w:asciiTheme="minorHAnsi" w:hAnsiTheme="minorHAnsi"/>
                <w:sz w:val="22"/>
                <w:szCs w:val="22"/>
              </w:rPr>
              <w:t>Dec</w:t>
            </w:r>
          </w:p>
        </w:tc>
        <w:tc>
          <w:tcPr>
            <w:tcW w:w="720" w:type="dxa"/>
            <w:tcBorders>
              <w:top w:val="nil"/>
              <w:left w:val="nil"/>
              <w:bottom w:val="single" w:sz="4" w:space="0" w:color="auto"/>
              <w:right w:val="single" w:sz="4" w:space="0" w:color="auto"/>
            </w:tcBorders>
            <w:shd w:val="clear" w:color="auto" w:fill="auto"/>
            <w:noWrap/>
            <w:vAlign w:val="bottom"/>
          </w:tcPr>
          <w:p w14:paraId="0C6C7A9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104</w:t>
            </w:r>
          </w:p>
        </w:tc>
        <w:tc>
          <w:tcPr>
            <w:tcW w:w="720" w:type="dxa"/>
            <w:tcBorders>
              <w:top w:val="nil"/>
              <w:left w:val="nil"/>
              <w:bottom w:val="single" w:sz="4" w:space="0" w:color="auto"/>
              <w:right w:val="single" w:sz="4" w:space="0" w:color="auto"/>
            </w:tcBorders>
            <w:shd w:val="clear" w:color="auto" w:fill="auto"/>
            <w:noWrap/>
            <w:vAlign w:val="bottom"/>
          </w:tcPr>
          <w:p w14:paraId="38A8CAC7"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105</w:t>
            </w:r>
          </w:p>
        </w:tc>
        <w:tc>
          <w:tcPr>
            <w:tcW w:w="720" w:type="dxa"/>
            <w:tcBorders>
              <w:top w:val="nil"/>
              <w:left w:val="nil"/>
              <w:bottom w:val="single" w:sz="4" w:space="0" w:color="auto"/>
              <w:right w:val="single" w:sz="4" w:space="0" w:color="auto"/>
            </w:tcBorders>
            <w:shd w:val="clear" w:color="auto" w:fill="auto"/>
            <w:noWrap/>
            <w:vAlign w:val="bottom"/>
          </w:tcPr>
          <w:p w14:paraId="3E7803CB"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105</w:t>
            </w:r>
          </w:p>
        </w:tc>
        <w:tc>
          <w:tcPr>
            <w:tcW w:w="720" w:type="dxa"/>
            <w:tcBorders>
              <w:top w:val="nil"/>
              <w:left w:val="nil"/>
              <w:bottom w:val="single" w:sz="4" w:space="0" w:color="auto"/>
              <w:right w:val="single" w:sz="4" w:space="0" w:color="auto"/>
            </w:tcBorders>
            <w:shd w:val="clear" w:color="auto" w:fill="auto"/>
            <w:noWrap/>
            <w:vAlign w:val="bottom"/>
          </w:tcPr>
          <w:p w14:paraId="1D3651DF" w14:textId="77777777" w:rsidR="008D0E26" w:rsidRPr="00057861" w:rsidRDefault="008D0E26" w:rsidP="00B53F87">
            <w:pPr>
              <w:jc w:val="right"/>
              <w:rPr>
                <w:rFonts w:asciiTheme="minorHAnsi" w:hAnsiTheme="minorHAnsi" w:cs="Calibri"/>
                <w:color w:val="000000"/>
                <w:lang w:val="en-CA" w:eastAsia="en-CA"/>
              </w:rPr>
            </w:pPr>
            <w:r>
              <w:rPr>
                <w:rFonts w:ascii="Calibri" w:hAnsi="Calibri" w:cs="Calibri"/>
                <w:color w:val="000000"/>
                <w:sz w:val="22"/>
                <w:szCs w:val="22"/>
              </w:rPr>
              <w:t>151</w:t>
            </w:r>
          </w:p>
        </w:tc>
        <w:tc>
          <w:tcPr>
            <w:tcW w:w="720" w:type="dxa"/>
            <w:tcBorders>
              <w:top w:val="nil"/>
              <w:left w:val="nil"/>
              <w:bottom w:val="single" w:sz="4" w:space="0" w:color="auto"/>
              <w:right w:val="single" w:sz="4" w:space="0" w:color="auto"/>
            </w:tcBorders>
            <w:shd w:val="clear" w:color="auto" w:fill="auto"/>
            <w:noWrap/>
            <w:vAlign w:val="bottom"/>
          </w:tcPr>
          <w:p w14:paraId="47EFAAA8" w14:textId="77777777" w:rsidR="008D0E26" w:rsidRPr="00744555" w:rsidRDefault="008D0E26" w:rsidP="00B53F87">
            <w:pPr>
              <w:jc w:val="right"/>
              <w:rPr>
                <w:rFonts w:asciiTheme="minorHAnsi" w:hAnsiTheme="minorHAnsi"/>
                <w:sz w:val="22"/>
                <w:szCs w:val="22"/>
              </w:rPr>
            </w:pPr>
            <w:r w:rsidRPr="00744555">
              <w:rPr>
                <w:rFonts w:asciiTheme="minorHAnsi" w:hAnsiTheme="minorHAnsi" w:cs="Calibri"/>
                <w:color w:val="000000"/>
                <w:sz w:val="22"/>
                <w:szCs w:val="22"/>
              </w:rPr>
              <w:t>133</w:t>
            </w:r>
          </w:p>
        </w:tc>
        <w:tc>
          <w:tcPr>
            <w:tcW w:w="663" w:type="dxa"/>
            <w:tcBorders>
              <w:top w:val="single" w:sz="4" w:space="0" w:color="auto"/>
              <w:left w:val="nil"/>
              <w:bottom w:val="single" w:sz="4" w:space="0" w:color="auto"/>
              <w:right w:val="single" w:sz="4" w:space="0" w:color="auto"/>
            </w:tcBorders>
            <w:shd w:val="clear" w:color="auto" w:fill="auto"/>
            <w:vAlign w:val="bottom"/>
          </w:tcPr>
          <w:p w14:paraId="5072D648" w14:textId="77777777" w:rsidR="008D0E26" w:rsidRPr="00744555"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95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14:paraId="60936D88" w14:textId="1AE348B6" w:rsidR="008D0E26" w:rsidRPr="00744555" w:rsidDel="00E07910" w:rsidRDefault="008D0E26" w:rsidP="00B53F87">
            <w:pPr>
              <w:jc w:val="right"/>
              <w:rPr>
                <w:rFonts w:asciiTheme="minorHAnsi" w:hAnsiTheme="minorHAnsi"/>
                <w:color w:val="000000"/>
                <w:sz w:val="22"/>
                <w:szCs w:val="22"/>
              </w:rPr>
            </w:pPr>
            <w:r w:rsidRPr="00744555">
              <w:rPr>
                <w:rFonts w:asciiTheme="minorHAnsi" w:hAnsiTheme="minorHAnsi" w:cs="Calibri"/>
                <w:color w:val="000000"/>
                <w:sz w:val="22"/>
                <w:szCs w:val="22"/>
              </w:rPr>
              <w:t> </w:t>
            </w:r>
            <w:r>
              <w:rPr>
                <w:rFonts w:asciiTheme="minorHAnsi" w:hAnsiTheme="minorHAnsi" w:cs="Calibri"/>
                <w:color w:val="000000"/>
                <w:sz w:val="22"/>
                <w:szCs w:val="22"/>
              </w:rPr>
              <w:t>144</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DF165" w14:textId="67F64DEC"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52%</w:t>
            </w: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827440" w14:textId="6CF1E7B3" w:rsidR="008D0E26" w:rsidRPr="00744555" w:rsidRDefault="008D0E26" w:rsidP="00B53F87">
            <w:pPr>
              <w:jc w:val="right"/>
              <w:rPr>
                <w:rFonts w:asciiTheme="minorHAnsi" w:hAnsiTheme="minorHAnsi"/>
                <w:color w:val="000000"/>
                <w:sz w:val="22"/>
                <w:szCs w:val="22"/>
              </w:rPr>
            </w:pPr>
            <w:r>
              <w:rPr>
                <w:rFonts w:asciiTheme="minorHAnsi" w:hAnsiTheme="minorHAnsi"/>
                <w:color w:val="000000"/>
                <w:sz w:val="22"/>
                <w:szCs w:val="22"/>
              </w:rPr>
              <w:t>-20%</w:t>
            </w:r>
          </w:p>
        </w:tc>
      </w:tr>
    </w:tbl>
    <w:p w14:paraId="28546FF2" w14:textId="14545762" w:rsidR="00B22511" w:rsidRDefault="008D0E26" w:rsidP="008D0E26">
      <w:pPr>
        <w:jc w:val="center"/>
        <w:rPr>
          <w:rFonts w:ascii="Arial" w:hAnsi="Arial" w:cs="Arial"/>
          <w:bCs/>
          <w:sz w:val="22"/>
          <w:szCs w:val="22"/>
        </w:rPr>
      </w:pPr>
      <w:r>
        <w:rPr>
          <w:rFonts w:ascii="Arial" w:hAnsi="Arial" w:cs="Arial"/>
          <w:bCs/>
          <w:sz w:val="22"/>
          <w:szCs w:val="22"/>
        </w:rPr>
        <w:t xml:space="preserve"> </w:t>
      </w:r>
    </w:p>
    <w:p w14:paraId="4A575794" w14:textId="77777777" w:rsidR="00B22511" w:rsidRDefault="00B22511" w:rsidP="00653854">
      <w:pPr>
        <w:tabs>
          <w:tab w:val="left" w:pos="3870"/>
        </w:tabs>
        <w:jc w:val="center"/>
      </w:pPr>
    </w:p>
    <w:p w14:paraId="13C7B03F" w14:textId="66BF0E4B" w:rsidR="00090277" w:rsidRDefault="008D0E26" w:rsidP="00653854">
      <w:pPr>
        <w:tabs>
          <w:tab w:val="left" w:pos="3870"/>
        </w:tabs>
        <w:jc w:val="center"/>
      </w:pPr>
      <w:r>
        <w:rPr>
          <w:noProof/>
          <w:lang w:val="en-CA" w:eastAsia="en-CA"/>
        </w:rPr>
        <w:drawing>
          <wp:inline distT="0" distB="0" distL="0" distR="0" wp14:anchorId="1C6660EC" wp14:editId="7B577F64">
            <wp:extent cx="5114925" cy="382270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3822700"/>
                    </a:xfrm>
                    <a:prstGeom prst="rect">
                      <a:avLst/>
                    </a:prstGeom>
                    <a:noFill/>
                  </pic:spPr>
                </pic:pic>
              </a:graphicData>
            </a:graphic>
          </wp:inline>
        </w:drawing>
      </w:r>
    </w:p>
    <w:sectPr w:rsidR="00090277" w:rsidSect="00B22511">
      <w:headerReference w:type="default" r:id="rId10"/>
      <w:pgSz w:w="12240" w:h="15840"/>
      <w:pgMar w:top="1166" w:right="1152" w:bottom="187" w:left="1152"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2800A" w14:textId="77777777" w:rsidR="007B21EC" w:rsidRDefault="007B21EC" w:rsidP="00632632">
      <w:r>
        <w:separator/>
      </w:r>
    </w:p>
  </w:endnote>
  <w:endnote w:type="continuationSeparator" w:id="0">
    <w:p w14:paraId="38ECB0C7" w14:textId="77777777" w:rsidR="007B21EC" w:rsidRDefault="007B21EC" w:rsidP="0063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514A8" w14:textId="77777777" w:rsidR="007B21EC" w:rsidRDefault="007B21EC" w:rsidP="00632632">
      <w:r>
        <w:separator/>
      </w:r>
    </w:p>
  </w:footnote>
  <w:footnote w:type="continuationSeparator" w:id="0">
    <w:p w14:paraId="71638C68" w14:textId="77777777" w:rsidR="007B21EC" w:rsidRDefault="007B21EC" w:rsidP="006326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43972" w14:textId="77777777" w:rsidR="00B55D1C" w:rsidRDefault="00B55D1C" w:rsidP="00B22511">
    <w:pPr>
      <w:ind w:left="-450" w:right="-342"/>
      <w:rPr>
        <w:rFonts w:ascii="Arial" w:hAnsi="Arial" w:cs="Arial"/>
        <w:b/>
        <w:color w:val="1F497D" w:themeColor="text2"/>
        <w:sz w:val="28"/>
        <w:szCs w:val="22"/>
      </w:rPr>
    </w:pPr>
    <w:r w:rsidRPr="005E44D6">
      <w:rPr>
        <w:noProof/>
        <w:lang w:val="en-CA" w:eastAsia="en-CA"/>
      </w:rPr>
      <w:drawing>
        <wp:anchor distT="0" distB="0" distL="114300" distR="114300" simplePos="0" relativeHeight="251659264" behindDoc="0" locked="0" layoutInCell="1" allowOverlap="1" wp14:anchorId="3D8DFAD3" wp14:editId="0ADC3417">
          <wp:simplePos x="0" y="0"/>
          <wp:positionH relativeFrom="column">
            <wp:posOffset>4549140</wp:posOffset>
          </wp:positionH>
          <wp:positionV relativeFrom="paragraph">
            <wp:posOffset>94615</wp:posOffset>
          </wp:positionV>
          <wp:extent cx="1783080" cy="703580"/>
          <wp:effectExtent l="0" t="0" r="7620" b="1270"/>
          <wp:wrapSquare wrapText="bothSides"/>
          <wp:docPr id="6" name="Picture 1" descr="TranCore Link Logistics Logo(CMY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Core Link Logistics Logo(CMYK)-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80" cy="703580"/>
                  </a:xfrm>
                  <a:prstGeom prst="rect">
                    <a:avLst/>
                  </a:prstGeom>
                </pic:spPr>
              </pic:pic>
            </a:graphicData>
          </a:graphic>
        </wp:anchor>
      </w:drawing>
    </w:r>
  </w:p>
  <w:p w14:paraId="47ACB6D6" w14:textId="77777777" w:rsidR="00B55D1C" w:rsidRDefault="00B55D1C" w:rsidP="00B22511">
    <w:pPr>
      <w:ind w:left="-450" w:right="234"/>
      <w:rPr>
        <w:rFonts w:ascii="Arial" w:hAnsi="Arial" w:cs="Arial"/>
        <w:b/>
        <w:color w:val="1F497D" w:themeColor="text2"/>
        <w:sz w:val="28"/>
        <w:szCs w:val="22"/>
      </w:rPr>
    </w:pPr>
  </w:p>
  <w:p w14:paraId="47EF0349" w14:textId="5CFEA1ED" w:rsidR="00B55D1C" w:rsidRDefault="00B55D1C" w:rsidP="00A745D8">
    <w:pPr>
      <w:ind w:left="-450" w:right="234"/>
      <w:rPr>
        <w:rFonts w:ascii="Arial" w:hAnsi="Arial" w:cs="Arial"/>
        <w:b/>
        <w:color w:val="1F497D" w:themeColor="text2"/>
        <w:sz w:val="28"/>
        <w:szCs w:val="22"/>
      </w:rPr>
    </w:pPr>
    <w:r w:rsidRPr="00980284">
      <w:rPr>
        <w:rFonts w:ascii="Arial" w:hAnsi="Arial" w:cs="Arial"/>
        <w:b/>
        <w:color w:val="1F497D" w:themeColor="text2"/>
        <w:sz w:val="28"/>
        <w:szCs w:val="22"/>
      </w:rPr>
      <w:t>TransCore’s Canadian Freight Index –</w:t>
    </w:r>
    <w:r w:rsidR="000171B3">
      <w:rPr>
        <w:rFonts w:ascii="Arial" w:hAnsi="Arial" w:cs="Arial"/>
        <w:b/>
        <w:color w:val="1F497D" w:themeColor="text2"/>
        <w:sz w:val="28"/>
        <w:szCs w:val="22"/>
      </w:rPr>
      <w:t xml:space="preserve"> </w:t>
    </w:r>
    <w:r w:rsidR="004B3D70">
      <w:rPr>
        <w:rFonts w:ascii="Arial" w:hAnsi="Arial" w:cs="Arial"/>
        <w:b/>
        <w:color w:val="1F497D" w:themeColor="text2"/>
        <w:sz w:val="28"/>
        <w:szCs w:val="22"/>
      </w:rPr>
      <w:t xml:space="preserve">December </w:t>
    </w:r>
    <w:r w:rsidR="00F11F1F">
      <w:rPr>
        <w:rFonts w:ascii="Arial" w:hAnsi="Arial" w:cs="Arial"/>
        <w:b/>
        <w:color w:val="1F497D" w:themeColor="text2"/>
        <w:sz w:val="28"/>
        <w:szCs w:val="22"/>
      </w:rPr>
      <w:t>2018</w:t>
    </w:r>
  </w:p>
  <w:p w14:paraId="375DF5AA" w14:textId="77777777" w:rsidR="00B55D1C" w:rsidRPr="00980284" w:rsidRDefault="00B55D1C" w:rsidP="00B22511">
    <w:pPr>
      <w:pBdr>
        <w:bottom w:val="single" w:sz="12" w:space="1" w:color="1F497D" w:themeColor="text2"/>
      </w:pBdr>
      <w:ind w:left="-450" w:right="-342"/>
      <w:rPr>
        <w:rFonts w:ascii="Arial" w:hAnsi="Arial" w:cs="Arial"/>
        <w:b/>
        <w:color w:val="1F497D" w:themeColor="text2"/>
        <w:sz w:val="28"/>
        <w:szCs w:val="22"/>
      </w:rPr>
    </w:pPr>
  </w:p>
  <w:p w14:paraId="2AA6550C" w14:textId="77777777" w:rsidR="00B55D1C" w:rsidRDefault="00B55D1C" w:rsidP="00B22511">
    <w:pPr>
      <w:pStyle w:val="BalloonText"/>
      <w:jc w:val="right"/>
    </w:pPr>
  </w:p>
  <w:p w14:paraId="4A19827A" w14:textId="77777777" w:rsidR="00B55D1C" w:rsidRDefault="00B55D1C" w:rsidP="00B22511">
    <w:pPr>
      <w:pStyle w:val="BalloonTex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3A9D"/>
    <w:multiLevelType w:val="hybridMultilevel"/>
    <w:tmpl w:val="CCBCD1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837F18"/>
    <w:multiLevelType w:val="hybridMultilevel"/>
    <w:tmpl w:val="4C32A2EA"/>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6C6D44"/>
    <w:multiLevelType w:val="hybridMultilevel"/>
    <w:tmpl w:val="4418BD72"/>
    <w:lvl w:ilvl="0" w:tplc="10090001">
      <w:start w:val="1"/>
      <w:numFmt w:val="bullet"/>
      <w:lvlText w:val=""/>
      <w:lvlJc w:val="left"/>
      <w:pPr>
        <w:ind w:left="360" w:hanging="360"/>
      </w:pPr>
      <w:rPr>
        <w:rFonts w:ascii="Symbol" w:hAnsi="Symbol" w:hint="default"/>
      </w:rPr>
    </w:lvl>
    <w:lvl w:ilvl="1" w:tplc="DBE688D8">
      <w:start w:val="1"/>
      <w:numFmt w:val="bullet"/>
      <w:lvlText w:val="o"/>
      <w:lvlJc w:val="left"/>
      <w:pPr>
        <w:ind w:left="1080" w:hanging="360"/>
      </w:pPr>
      <w:rPr>
        <w:rFonts w:ascii="Courier New" w:hAnsi="Courier New" w:hint="default"/>
        <w:color w:val="1F497D" w:themeColor="text2"/>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B6266B"/>
    <w:multiLevelType w:val="hybridMultilevel"/>
    <w:tmpl w:val="3132C2D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52B827ED"/>
    <w:multiLevelType w:val="hybridMultilevel"/>
    <w:tmpl w:val="5C826CE0"/>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D8A374B"/>
    <w:multiLevelType w:val="hybridMultilevel"/>
    <w:tmpl w:val="CB8EA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D7F6E0E"/>
    <w:multiLevelType w:val="hybridMultilevel"/>
    <w:tmpl w:val="C1AA3DB0"/>
    <w:lvl w:ilvl="0" w:tplc="10090001">
      <w:start w:val="1"/>
      <w:numFmt w:val="bullet"/>
      <w:lvlText w:val=""/>
      <w:lvlJc w:val="left"/>
      <w:pPr>
        <w:ind w:left="360" w:hanging="360"/>
      </w:pPr>
      <w:rPr>
        <w:rFonts w:ascii="Symbol" w:hAnsi="Symbol" w:hint="default"/>
      </w:rPr>
    </w:lvl>
    <w:lvl w:ilvl="1" w:tplc="14A0C08A">
      <w:start w:val="1"/>
      <w:numFmt w:val="bullet"/>
      <w:lvlText w:val=""/>
      <w:lvlJc w:val="left"/>
      <w:pPr>
        <w:ind w:left="1080" w:hanging="360"/>
      </w:pPr>
      <w:rPr>
        <w:rFonts w:ascii="Symbol" w:hAnsi="Symbol" w:hint="default"/>
        <w:color w:val="4F6228" w:themeColor="accent3" w:themeShade="80"/>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48"/>
    <w:rsid w:val="000037BE"/>
    <w:rsid w:val="00005E35"/>
    <w:rsid w:val="000127D7"/>
    <w:rsid w:val="000171B3"/>
    <w:rsid w:val="000208BB"/>
    <w:rsid w:val="00027482"/>
    <w:rsid w:val="0003208C"/>
    <w:rsid w:val="00037118"/>
    <w:rsid w:val="00053DE0"/>
    <w:rsid w:val="00073E7F"/>
    <w:rsid w:val="00090277"/>
    <w:rsid w:val="00090C9C"/>
    <w:rsid w:val="0009158B"/>
    <w:rsid w:val="00095700"/>
    <w:rsid w:val="000A389A"/>
    <w:rsid w:val="000A6A0C"/>
    <w:rsid w:val="000A6FC2"/>
    <w:rsid w:val="000B7E97"/>
    <w:rsid w:val="000C0137"/>
    <w:rsid w:val="000C0541"/>
    <w:rsid w:val="000D085A"/>
    <w:rsid w:val="000D395F"/>
    <w:rsid w:val="000D5CF2"/>
    <w:rsid w:val="001044F5"/>
    <w:rsid w:val="00111908"/>
    <w:rsid w:val="00112898"/>
    <w:rsid w:val="00117A11"/>
    <w:rsid w:val="00120980"/>
    <w:rsid w:val="00122075"/>
    <w:rsid w:val="00124820"/>
    <w:rsid w:val="00125488"/>
    <w:rsid w:val="00127C95"/>
    <w:rsid w:val="001555F7"/>
    <w:rsid w:val="00157165"/>
    <w:rsid w:val="00162E92"/>
    <w:rsid w:val="00165184"/>
    <w:rsid w:val="001766FE"/>
    <w:rsid w:val="00183216"/>
    <w:rsid w:val="001933FF"/>
    <w:rsid w:val="0019385D"/>
    <w:rsid w:val="001948C9"/>
    <w:rsid w:val="00196EE4"/>
    <w:rsid w:val="001A0D23"/>
    <w:rsid w:val="001A1025"/>
    <w:rsid w:val="001A6E57"/>
    <w:rsid w:val="001B22CB"/>
    <w:rsid w:val="001B303D"/>
    <w:rsid w:val="001C5948"/>
    <w:rsid w:val="001E429A"/>
    <w:rsid w:val="001E4E0B"/>
    <w:rsid w:val="00203D8B"/>
    <w:rsid w:val="00205EC1"/>
    <w:rsid w:val="002078ED"/>
    <w:rsid w:val="00217E8A"/>
    <w:rsid w:val="00223F7B"/>
    <w:rsid w:val="00224CFC"/>
    <w:rsid w:val="0022589E"/>
    <w:rsid w:val="002332E1"/>
    <w:rsid w:val="00233F17"/>
    <w:rsid w:val="00235883"/>
    <w:rsid w:val="0024151C"/>
    <w:rsid w:val="002437D3"/>
    <w:rsid w:val="00251572"/>
    <w:rsid w:val="002573D2"/>
    <w:rsid w:val="00260664"/>
    <w:rsid w:val="0026277C"/>
    <w:rsid w:val="002633BB"/>
    <w:rsid w:val="00265702"/>
    <w:rsid w:val="0027006A"/>
    <w:rsid w:val="0027466B"/>
    <w:rsid w:val="00276E96"/>
    <w:rsid w:val="0027774F"/>
    <w:rsid w:val="00292CCC"/>
    <w:rsid w:val="002A2F15"/>
    <w:rsid w:val="002A635A"/>
    <w:rsid w:val="002A79A1"/>
    <w:rsid w:val="002B495F"/>
    <w:rsid w:val="002C4BCC"/>
    <w:rsid w:val="002C538D"/>
    <w:rsid w:val="002D4942"/>
    <w:rsid w:val="002D6B20"/>
    <w:rsid w:val="002E0442"/>
    <w:rsid w:val="002E109A"/>
    <w:rsid w:val="002E591B"/>
    <w:rsid w:val="002E5E32"/>
    <w:rsid w:val="002F1B11"/>
    <w:rsid w:val="002F2715"/>
    <w:rsid w:val="002F3D0F"/>
    <w:rsid w:val="00301096"/>
    <w:rsid w:val="003023A3"/>
    <w:rsid w:val="00304C97"/>
    <w:rsid w:val="00310380"/>
    <w:rsid w:val="00313256"/>
    <w:rsid w:val="003211DF"/>
    <w:rsid w:val="00331D74"/>
    <w:rsid w:val="00345770"/>
    <w:rsid w:val="00353315"/>
    <w:rsid w:val="003562D1"/>
    <w:rsid w:val="00362321"/>
    <w:rsid w:val="00367D0F"/>
    <w:rsid w:val="00370B1D"/>
    <w:rsid w:val="003710BB"/>
    <w:rsid w:val="00372709"/>
    <w:rsid w:val="0037415F"/>
    <w:rsid w:val="003832FE"/>
    <w:rsid w:val="00391305"/>
    <w:rsid w:val="0039138F"/>
    <w:rsid w:val="003920E2"/>
    <w:rsid w:val="003A7C2A"/>
    <w:rsid w:val="003A7C60"/>
    <w:rsid w:val="003B3EE0"/>
    <w:rsid w:val="003B4374"/>
    <w:rsid w:val="003C19AE"/>
    <w:rsid w:val="003C2594"/>
    <w:rsid w:val="003C3B3F"/>
    <w:rsid w:val="003C4D73"/>
    <w:rsid w:val="003D0FA2"/>
    <w:rsid w:val="003E1CD6"/>
    <w:rsid w:val="003F3D40"/>
    <w:rsid w:val="003F714E"/>
    <w:rsid w:val="00400A05"/>
    <w:rsid w:val="00404F6C"/>
    <w:rsid w:val="00412B07"/>
    <w:rsid w:val="004140AE"/>
    <w:rsid w:val="00414726"/>
    <w:rsid w:val="00414965"/>
    <w:rsid w:val="004162A0"/>
    <w:rsid w:val="004165D0"/>
    <w:rsid w:val="00416CA2"/>
    <w:rsid w:val="004172A3"/>
    <w:rsid w:val="00420196"/>
    <w:rsid w:val="00421E8F"/>
    <w:rsid w:val="00424A30"/>
    <w:rsid w:val="004256B3"/>
    <w:rsid w:val="00427463"/>
    <w:rsid w:val="004300F7"/>
    <w:rsid w:val="0043457B"/>
    <w:rsid w:val="00442A03"/>
    <w:rsid w:val="00444FC6"/>
    <w:rsid w:val="00451236"/>
    <w:rsid w:val="00460931"/>
    <w:rsid w:val="00462421"/>
    <w:rsid w:val="00464C6D"/>
    <w:rsid w:val="00464F87"/>
    <w:rsid w:val="00465EDF"/>
    <w:rsid w:val="0047083C"/>
    <w:rsid w:val="0047460E"/>
    <w:rsid w:val="00480558"/>
    <w:rsid w:val="0048767C"/>
    <w:rsid w:val="00491F73"/>
    <w:rsid w:val="00497D81"/>
    <w:rsid w:val="004A0343"/>
    <w:rsid w:val="004A3B9A"/>
    <w:rsid w:val="004A74C7"/>
    <w:rsid w:val="004B1104"/>
    <w:rsid w:val="004B3950"/>
    <w:rsid w:val="004B3D70"/>
    <w:rsid w:val="004B5B7B"/>
    <w:rsid w:val="004B66C4"/>
    <w:rsid w:val="004B7C1D"/>
    <w:rsid w:val="004C1A31"/>
    <w:rsid w:val="004D0398"/>
    <w:rsid w:val="004D1109"/>
    <w:rsid w:val="004E21E5"/>
    <w:rsid w:val="004E2DE4"/>
    <w:rsid w:val="005019B6"/>
    <w:rsid w:val="00503940"/>
    <w:rsid w:val="00504AF4"/>
    <w:rsid w:val="00511D8B"/>
    <w:rsid w:val="005147E3"/>
    <w:rsid w:val="0051626C"/>
    <w:rsid w:val="00516BEE"/>
    <w:rsid w:val="005179A3"/>
    <w:rsid w:val="00517D54"/>
    <w:rsid w:val="00520B21"/>
    <w:rsid w:val="0052445B"/>
    <w:rsid w:val="00533A35"/>
    <w:rsid w:val="00544296"/>
    <w:rsid w:val="00553FA0"/>
    <w:rsid w:val="00554924"/>
    <w:rsid w:val="00557CA8"/>
    <w:rsid w:val="005653B4"/>
    <w:rsid w:val="00570D4E"/>
    <w:rsid w:val="00572575"/>
    <w:rsid w:val="005A35B4"/>
    <w:rsid w:val="005A4702"/>
    <w:rsid w:val="005B5E0D"/>
    <w:rsid w:val="005C1F19"/>
    <w:rsid w:val="005E0AD8"/>
    <w:rsid w:val="005E38D9"/>
    <w:rsid w:val="005E590B"/>
    <w:rsid w:val="005E60BD"/>
    <w:rsid w:val="005E7B15"/>
    <w:rsid w:val="005F60EE"/>
    <w:rsid w:val="00601969"/>
    <w:rsid w:val="00605A53"/>
    <w:rsid w:val="00623658"/>
    <w:rsid w:val="00626C33"/>
    <w:rsid w:val="00631DA3"/>
    <w:rsid w:val="00632632"/>
    <w:rsid w:val="006333F6"/>
    <w:rsid w:val="00633F78"/>
    <w:rsid w:val="00635F29"/>
    <w:rsid w:val="00653854"/>
    <w:rsid w:val="0065569D"/>
    <w:rsid w:val="00655A73"/>
    <w:rsid w:val="0066380E"/>
    <w:rsid w:val="00663EE3"/>
    <w:rsid w:val="006649C7"/>
    <w:rsid w:val="00670082"/>
    <w:rsid w:val="00674B76"/>
    <w:rsid w:val="00674DCE"/>
    <w:rsid w:val="006765BD"/>
    <w:rsid w:val="00683C18"/>
    <w:rsid w:val="0068781D"/>
    <w:rsid w:val="006900D4"/>
    <w:rsid w:val="00690172"/>
    <w:rsid w:val="006936CF"/>
    <w:rsid w:val="006A733A"/>
    <w:rsid w:val="006A787A"/>
    <w:rsid w:val="006A7B4B"/>
    <w:rsid w:val="006D0BCC"/>
    <w:rsid w:val="006D4956"/>
    <w:rsid w:val="006D5EAE"/>
    <w:rsid w:val="006D77BD"/>
    <w:rsid w:val="006E130C"/>
    <w:rsid w:val="006E6809"/>
    <w:rsid w:val="006E7AC5"/>
    <w:rsid w:val="006F325D"/>
    <w:rsid w:val="006F3ED0"/>
    <w:rsid w:val="006F5060"/>
    <w:rsid w:val="00701653"/>
    <w:rsid w:val="007024AD"/>
    <w:rsid w:val="00705164"/>
    <w:rsid w:val="00715AAE"/>
    <w:rsid w:val="0072361B"/>
    <w:rsid w:val="00727EB2"/>
    <w:rsid w:val="00730E3D"/>
    <w:rsid w:val="00735C21"/>
    <w:rsid w:val="007425B2"/>
    <w:rsid w:val="0076335F"/>
    <w:rsid w:val="00767358"/>
    <w:rsid w:val="00770670"/>
    <w:rsid w:val="00787666"/>
    <w:rsid w:val="00792072"/>
    <w:rsid w:val="007A336D"/>
    <w:rsid w:val="007A5DA9"/>
    <w:rsid w:val="007A5DE1"/>
    <w:rsid w:val="007B21EC"/>
    <w:rsid w:val="007D0987"/>
    <w:rsid w:val="007D114C"/>
    <w:rsid w:val="007D1372"/>
    <w:rsid w:val="007D6609"/>
    <w:rsid w:val="007E0F7F"/>
    <w:rsid w:val="007E3169"/>
    <w:rsid w:val="007E3795"/>
    <w:rsid w:val="007E6CC9"/>
    <w:rsid w:val="007E705D"/>
    <w:rsid w:val="007F3157"/>
    <w:rsid w:val="007F4392"/>
    <w:rsid w:val="008012AF"/>
    <w:rsid w:val="0081215E"/>
    <w:rsid w:val="008124F5"/>
    <w:rsid w:val="00817A5C"/>
    <w:rsid w:val="00820D3C"/>
    <w:rsid w:val="00825B6D"/>
    <w:rsid w:val="008270A0"/>
    <w:rsid w:val="00827E0F"/>
    <w:rsid w:val="008336BB"/>
    <w:rsid w:val="0083488A"/>
    <w:rsid w:val="00835822"/>
    <w:rsid w:val="008370BD"/>
    <w:rsid w:val="00853FD9"/>
    <w:rsid w:val="008556A4"/>
    <w:rsid w:val="00857810"/>
    <w:rsid w:val="00864FB1"/>
    <w:rsid w:val="0086576D"/>
    <w:rsid w:val="00883162"/>
    <w:rsid w:val="00887F9F"/>
    <w:rsid w:val="008907A2"/>
    <w:rsid w:val="00890B48"/>
    <w:rsid w:val="00892842"/>
    <w:rsid w:val="00893FBA"/>
    <w:rsid w:val="008A4E6B"/>
    <w:rsid w:val="008B21BF"/>
    <w:rsid w:val="008B73EE"/>
    <w:rsid w:val="008C26F9"/>
    <w:rsid w:val="008D0E26"/>
    <w:rsid w:val="008D2EA5"/>
    <w:rsid w:val="008D6FE9"/>
    <w:rsid w:val="008E0724"/>
    <w:rsid w:val="008E3A3A"/>
    <w:rsid w:val="008E4CF1"/>
    <w:rsid w:val="008E5287"/>
    <w:rsid w:val="008E60AD"/>
    <w:rsid w:val="008E6EE8"/>
    <w:rsid w:val="008F5322"/>
    <w:rsid w:val="00900751"/>
    <w:rsid w:val="00905E29"/>
    <w:rsid w:val="009164FC"/>
    <w:rsid w:val="00920CD6"/>
    <w:rsid w:val="009220A5"/>
    <w:rsid w:val="00924E16"/>
    <w:rsid w:val="009274D4"/>
    <w:rsid w:val="00930722"/>
    <w:rsid w:val="009310BF"/>
    <w:rsid w:val="00931B83"/>
    <w:rsid w:val="009334F6"/>
    <w:rsid w:val="00933A4A"/>
    <w:rsid w:val="00933AD0"/>
    <w:rsid w:val="00934516"/>
    <w:rsid w:val="00934A78"/>
    <w:rsid w:val="00940E11"/>
    <w:rsid w:val="00945FFC"/>
    <w:rsid w:val="00946B54"/>
    <w:rsid w:val="00951A23"/>
    <w:rsid w:val="00960FC7"/>
    <w:rsid w:val="009622F3"/>
    <w:rsid w:val="0096371B"/>
    <w:rsid w:val="00964190"/>
    <w:rsid w:val="00967297"/>
    <w:rsid w:val="00974A68"/>
    <w:rsid w:val="009800B8"/>
    <w:rsid w:val="00980137"/>
    <w:rsid w:val="00992A51"/>
    <w:rsid w:val="00992D2F"/>
    <w:rsid w:val="00995359"/>
    <w:rsid w:val="009A5311"/>
    <w:rsid w:val="009A6DBE"/>
    <w:rsid w:val="009A7C2E"/>
    <w:rsid w:val="009B07D4"/>
    <w:rsid w:val="009B3288"/>
    <w:rsid w:val="009B7B3B"/>
    <w:rsid w:val="009C4EE4"/>
    <w:rsid w:val="009C6304"/>
    <w:rsid w:val="009C7393"/>
    <w:rsid w:val="009C7ADC"/>
    <w:rsid w:val="009D3FB7"/>
    <w:rsid w:val="009D4ED5"/>
    <w:rsid w:val="009E428A"/>
    <w:rsid w:val="009E60A4"/>
    <w:rsid w:val="009E7BAC"/>
    <w:rsid w:val="009F4291"/>
    <w:rsid w:val="009F5B04"/>
    <w:rsid w:val="009F6B5E"/>
    <w:rsid w:val="00A02140"/>
    <w:rsid w:val="00A05152"/>
    <w:rsid w:val="00A07972"/>
    <w:rsid w:val="00A14EC0"/>
    <w:rsid w:val="00A16159"/>
    <w:rsid w:val="00A260A3"/>
    <w:rsid w:val="00A364BC"/>
    <w:rsid w:val="00A42401"/>
    <w:rsid w:val="00A42667"/>
    <w:rsid w:val="00A45A07"/>
    <w:rsid w:val="00A61E25"/>
    <w:rsid w:val="00A62CFD"/>
    <w:rsid w:val="00A63CAC"/>
    <w:rsid w:val="00A659F8"/>
    <w:rsid w:val="00A71FFC"/>
    <w:rsid w:val="00A745D8"/>
    <w:rsid w:val="00A75511"/>
    <w:rsid w:val="00A75F56"/>
    <w:rsid w:val="00A76F31"/>
    <w:rsid w:val="00A83310"/>
    <w:rsid w:val="00A86579"/>
    <w:rsid w:val="00A86AC0"/>
    <w:rsid w:val="00A93E62"/>
    <w:rsid w:val="00A97DEB"/>
    <w:rsid w:val="00AA360A"/>
    <w:rsid w:val="00AA7459"/>
    <w:rsid w:val="00AB11BC"/>
    <w:rsid w:val="00AB2480"/>
    <w:rsid w:val="00AB402D"/>
    <w:rsid w:val="00AC25CE"/>
    <w:rsid w:val="00AC2E96"/>
    <w:rsid w:val="00AC7363"/>
    <w:rsid w:val="00AD04EC"/>
    <w:rsid w:val="00AD0AFE"/>
    <w:rsid w:val="00AD5407"/>
    <w:rsid w:val="00AE4B60"/>
    <w:rsid w:val="00AF09E9"/>
    <w:rsid w:val="00AF4E06"/>
    <w:rsid w:val="00B06491"/>
    <w:rsid w:val="00B0726E"/>
    <w:rsid w:val="00B077FB"/>
    <w:rsid w:val="00B11DEB"/>
    <w:rsid w:val="00B1452D"/>
    <w:rsid w:val="00B1780A"/>
    <w:rsid w:val="00B22511"/>
    <w:rsid w:val="00B22CED"/>
    <w:rsid w:val="00B230F0"/>
    <w:rsid w:val="00B25961"/>
    <w:rsid w:val="00B32061"/>
    <w:rsid w:val="00B35BE2"/>
    <w:rsid w:val="00B35ED1"/>
    <w:rsid w:val="00B4305E"/>
    <w:rsid w:val="00B47372"/>
    <w:rsid w:val="00B52734"/>
    <w:rsid w:val="00B559E8"/>
    <w:rsid w:val="00B55D1C"/>
    <w:rsid w:val="00B567B6"/>
    <w:rsid w:val="00B62C78"/>
    <w:rsid w:val="00B81458"/>
    <w:rsid w:val="00B8406A"/>
    <w:rsid w:val="00B84599"/>
    <w:rsid w:val="00B84675"/>
    <w:rsid w:val="00B93F62"/>
    <w:rsid w:val="00BA063C"/>
    <w:rsid w:val="00BA2993"/>
    <w:rsid w:val="00BA3CA9"/>
    <w:rsid w:val="00BA58D0"/>
    <w:rsid w:val="00BA7C46"/>
    <w:rsid w:val="00BB1C73"/>
    <w:rsid w:val="00BB4500"/>
    <w:rsid w:val="00BC3ADB"/>
    <w:rsid w:val="00BC3CBF"/>
    <w:rsid w:val="00BC7180"/>
    <w:rsid w:val="00BD4F0E"/>
    <w:rsid w:val="00BE1837"/>
    <w:rsid w:val="00BE5E8C"/>
    <w:rsid w:val="00BE6056"/>
    <w:rsid w:val="00BF1401"/>
    <w:rsid w:val="00BF3D0C"/>
    <w:rsid w:val="00BF4CCB"/>
    <w:rsid w:val="00BF6DC0"/>
    <w:rsid w:val="00BF7BCD"/>
    <w:rsid w:val="00C0053F"/>
    <w:rsid w:val="00C00BFC"/>
    <w:rsid w:val="00C03AF6"/>
    <w:rsid w:val="00C04EC5"/>
    <w:rsid w:val="00C05618"/>
    <w:rsid w:val="00C075FB"/>
    <w:rsid w:val="00C109F6"/>
    <w:rsid w:val="00C11689"/>
    <w:rsid w:val="00C132C0"/>
    <w:rsid w:val="00C2428D"/>
    <w:rsid w:val="00C33ED4"/>
    <w:rsid w:val="00C357C2"/>
    <w:rsid w:val="00C36D3F"/>
    <w:rsid w:val="00C42BBC"/>
    <w:rsid w:val="00C478FE"/>
    <w:rsid w:val="00C537B2"/>
    <w:rsid w:val="00C53F97"/>
    <w:rsid w:val="00C57E7B"/>
    <w:rsid w:val="00C622C6"/>
    <w:rsid w:val="00C632C3"/>
    <w:rsid w:val="00C74D5F"/>
    <w:rsid w:val="00C802B4"/>
    <w:rsid w:val="00C85B7D"/>
    <w:rsid w:val="00C96587"/>
    <w:rsid w:val="00CA137A"/>
    <w:rsid w:val="00CB7124"/>
    <w:rsid w:val="00CC2C06"/>
    <w:rsid w:val="00CC4853"/>
    <w:rsid w:val="00CD0EDD"/>
    <w:rsid w:val="00CD5B7B"/>
    <w:rsid w:val="00CD7C99"/>
    <w:rsid w:val="00CE1481"/>
    <w:rsid w:val="00CE2443"/>
    <w:rsid w:val="00CE2C34"/>
    <w:rsid w:val="00CF4448"/>
    <w:rsid w:val="00CF450E"/>
    <w:rsid w:val="00CF453A"/>
    <w:rsid w:val="00CF6E89"/>
    <w:rsid w:val="00D04C78"/>
    <w:rsid w:val="00D15C00"/>
    <w:rsid w:val="00D161FC"/>
    <w:rsid w:val="00D17D96"/>
    <w:rsid w:val="00D2238E"/>
    <w:rsid w:val="00D238DD"/>
    <w:rsid w:val="00D37D33"/>
    <w:rsid w:val="00D46F82"/>
    <w:rsid w:val="00D472B2"/>
    <w:rsid w:val="00D506E5"/>
    <w:rsid w:val="00D55E5F"/>
    <w:rsid w:val="00D71C44"/>
    <w:rsid w:val="00D72D61"/>
    <w:rsid w:val="00D803A4"/>
    <w:rsid w:val="00D80E56"/>
    <w:rsid w:val="00D82153"/>
    <w:rsid w:val="00D91E45"/>
    <w:rsid w:val="00DA6A4A"/>
    <w:rsid w:val="00DB410C"/>
    <w:rsid w:val="00DB7F3D"/>
    <w:rsid w:val="00DC4F00"/>
    <w:rsid w:val="00DC7150"/>
    <w:rsid w:val="00DD28DA"/>
    <w:rsid w:val="00DD5FB8"/>
    <w:rsid w:val="00DE1B30"/>
    <w:rsid w:val="00DE1E6C"/>
    <w:rsid w:val="00DE6CAD"/>
    <w:rsid w:val="00DF24BF"/>
    <w:rsid w:val="00DF4226"/>
    <w:rsid w:val="00DF4795"/>
    <w:rsid w:val="00E14AE6"/>
    <w:rsid w:val="00E16C04"/>
    <w:rsid w:val="00E27F98"/>
    <w:rsid w:val="00E32816"/>
    <w:rsid w:val="00E34662"/>
    <w:rsid w:val="00E40C61"/>
    <w:rsid w:val="00E42BAE"/>
    <w:rsid w:val="00E46516"/>
    <w:rsid w:val="00E467C8"/>
    <w:rsid w:val="00E558EE"/>
    <w:rsid w:val="00E619E3"/>
    <w:rsid w:val="00E648EC"/>
    <w:rsid w:val="00E6755C"/>
    <w:rsid w:val="00E711DD"/>
    <w:rsid w:val="00E7288A"/>
    <w:rsid w:val="00E7623F"/>
    <w:rsid w:val="00E862C9"/>
    <w:rsid w:val="00EA0052"/>
    <w:rsid w:val="00EA31B7"/>
    <w:rsid w:val="00EA5A50"/>
    <w:rsid w:val="00EA799F"/>
    <w:rsid w:val="00EB2259"/>
    <w:rsid w:val="00EC49F3"/>
    <w:rsid w:val="00EC6A7C"/>
    <w:rsid w:val="00ED02B9"/>
    <w:rsid w:val="00ED0DF1"/>
    <w:rsid w:val="00ED1A90"/>
    <w:rsid w:val="00ED43FF"/>
    <w:rsid w:val="00ED55DE"/>
    <w:rsid w:val="00ED75B6"/>
    <w:rsid w:val="00ED7CBD"/>
    <w:rsid w:val="00EE0F78"/>
    <w:rsid w:val="00EE197A"/>
    <w:rsid w:val="00EF2C68"/>
    <w:rsid w:val="00EF2F55"/>
    <w:rsid w:val="00F11951"/>
    <w:rsid w:val="00F11F1F"/>
    <w:rsid w:val="00F13311"/>
    <w:rsid w:val="00F14C52"/>
    <w:rsid w:val="00F15A48"/>
    <w:rsid w:val="00F17DA9"/>
    <w:rsid w:val="00F214E0"/>
    <w:rsid w:val="00F274F0"/>
    <w:rsid w:val="00F27CB5"/>
    <w:rsid w:val="00F3275E"/>
    <w:rsid w:val="00F41E2A"/>
    <w:rsid w:val="00F4407E"/>
    <w:rsid w:val="00F4463A"/>
    <w:rsid w:val="00F46D6F"/>
    <w:rsid w:val="00F571CF"/>
    <w:rsid w:val="00F72F06"/>
    <w:rsid w:val="00F74FC1"/>
    <w:rsid w:val="00F75ECE"/>
    <w:rsid w:val="00F90C4C"/>
    <w:rsid w:val="00F96357"/>
    <w:rsid w:val="00F978BD"/>
    <w:rsid w:val="00FA3416"/>
    <w:rsid w:val="00FA64F9"/>
    <w:rsid w:val="00FB69E4"/>
    <w:rsid w:val="00FC0138"/>
    <w:rsid w:val="00FC0899"/>
    <w:rsid w:val="00FD2C26"/>
    <w:rsid w:val="00FD366B"/>
    <w:rsid w:val="00FD3691"/>
    <w:rsid w:val="00FD3BDB"/>
    <w:rsid w:val="00FE1C50"/>
    <w:rsid w:val="00FE7DB8"/>
    <w:rsid w:val="00FF28EF"/>
    <w:rsid w:val="00FF4200"/>
    <w:rsid w:val="00FF5144"/>
    <w:rsid w:val="00FF577A"/>
    <w:rsid w:val="00FF7195"/>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2354EA1"/>
  <w15:docId w15:val="{5ABCD289-68C9-4CED-BB9B-39775DB55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F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4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7E0F7F"/>
    <w:rPr>
      <w:rFonts w:ascii="Tahoma" w:hAnsi="Tahoma" w:cs="Tahoma"/>
      <w:sz w:val="20"/>
      <w:szCs w:val="16"/>
    </w:rPr>
  </w:style>
  <w:style w:type="character" w:customStyle="1" w:styleId="BalloonTextChar">
    <w:name w:val="Balloon Text Char"/>
    <w:basedOn w:val="DefaultParagraphFont"/>
    <w:link w:val="BalloonText"/>
    <w:uiPriority w:val="99"/>
    <w:semiHidden/>
    <w:rsid w:val="007E0F7F"/>
    <w:rPr>
      <w:rFonts w:ascii="Tahoma" w:eastAsia="Times New Roman" w:hAnsi="Tahoma" w:cs="Tahoma"/>
      <w:sz w:val="20"/>
      <w:szCs w:val="16"/>
      <w:lang w:val="en-US"/>
    </w:rPr>
  </w:style>
  <w:style w:type="paragraph" w:styleId="Header">
    <w:name w:val="header"/>
    <w:basedOn w:val="Normal"/>
    <w:link w:val="HeaderChar"/>
    <w:uiPriority w:val="99"/>
    <w:unhideWhenUsed/>
    <w:rsid w:val="00632632"/>
    <w:pPr>
      <w:tabs>
        <w:tab w:val="center" w:pos="4680"/>
        <w:tab w:val="right" w:pos="9360"/>
      </w:tabs>
    </w:pPr>
  </w:style>
  <w:style w:type="character" w:customStyle="1" w:styleId="HeaderChar">
    <w:name w:val="Header Char"/>
    <w:basedOn w:val="DefaultParagraphFont"/>
    <w:link w:val="Header"/>
    <w:uiPriority w:val="99"/>
    <w:rsid w:val="0063263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2632"/>
    <w:pPr>
      <w:tabs>
        <w:tab w:val="center" w:pos="4680"/>
        <w:tab w:val="right" w:pos="9360"/>
      </w:tabs>
    </w:pPr>
  </w:style>
  <w:style w:type="character" w:customStyle="1" w:styleId="FooterChar">
    <w:name w:val="Footer Char"/>
    <w:basedOn w:val="DefaultParagraphFont"/>
    <w:link w:val="Footer"/>
    <w:uiPriority w:val="99"/>
    <w:rsid w:val="00632632"/>
    <w:rPr>
      <w:rFonts w:ascii="Times New Roman" w:eastAsia="Times New Roman" w:hAnsi="Times New Roman" w:cs="Times New Roman"/>
      <w:sz w:val="24"/>
      <w:szCs w:val="24"/>
      <w:lang w:val="en-US"/>
    </w:rPr>
  </w:style>
  <w:style w:type="table" w:styleId="TableGrid">
    <w:name w:val="Table Grid"/>
    <w:basedOn w:val="TableNormal"/>
    <w:uiPriority w:val="59"/>
    <w:rsid w:val="00B52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38D9"/>
    <w:pPr>
      <w:spacing w:after="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C5948"/>
    <w:rPr>
      <w:sz w:val="16"/>
      <w:szCs w:val="16"/>
    </w:rPr>
  </w:style>
  <w:style w:type="paragraph" w:styleId="CommentText">
    <w:name w:val="annotation text"/>
    <w:basedOn w:val="Normal"/>
    <w:link w:val="CommentTextChar"/>
    <w:uiPriority w:val="99"/>
    <w:semiHidden/>
    <w:unhideWhenUsed/>
    <w:rsid w:val="001C5948"/>
    <w:rPr>
      <w:sz w:val="20"/>
      <w:szCs w:val="20"/>
    </w:rPr>
  </w:style>
  <w:style w:type="character" w:customStyle="1" w:styleId="CommentTextChar">
    <w:name w:val="Comment Text Char"/>
    <w:basedOn w:val="DefaultParagraphFont"/>
    <w:link w:val="CommentText"/>
    <w:uiPriority w:val="99"/>
    <w:semiHidden/>
    <w:rsid w:val="001C594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C5948"/>
    <w:rPr>
      <w:b/>
      <w:bCs/>
    </w:rPr>
  </w:style>
  <w:style w:type="character" w:customStyle="1" w:styleId="CommentSubjectChar">
    <w:name w:val="Comment Subject Char"/>
    <w:basedOn w:val="CommentTextChar"/>
    <w:link w:val="CommentSubject"/>
    <w:uiPriority w:val="99"/>
    <w:semiHidden/>
    <w:rsid w:val="001C5948"/>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711">
      <w:bodyDiv w:val="1"/>
      <w:marLeft w:val="0"/>
      <w:marRight w:val="0"/>
      <w:marTop w:val="0"/>
      <w:marBottom w:val="0"/>
      <w:divBdr>
        <w:top w:val="none" w:sz="0" w:space="0" w:color="auto"/>
        <w:left w:val="none" w:sz="0" w:space="0" w:color="auto"/>
        <w:bottom w:val="none" w:sz="0" w:space="0" w:color="auto"/>
        <w:right w:val="none" w:sz="0" w:space="0" w:color="auto"/>
      </w:divBdr>
    </w:div>
    <w:div w:id="544947703">
      <w:bodyDiv w:val="1"/>
      <w:marLeft w:val="0"/>
      <w:marRight w:val="0"/>
      <w:marTop w:val="0"/>
      <w:marBottom w:val="0"/>
      <w:divBdr>
        <w:top w:val="none" w:sz="0" w:space="0" w:color="auto"/>
        <w:left w:val="none" w:sz="0" w:space="0" w:color="auto"/>
        <w:bottom w:val="none" w:sz="0" w:space="0" w:color="auto"/>
        <w:right w:val="none" w:sz="0" w:space="0" w:color="auto"/>
      </w:divBdr>
    </w:div>
    <w:div w:id="883323791">
      <w:bodyDiv w:val="1"/>
      <w:marLeft w:val="0"/>
      <w:marRight w:val="0"/>
      <w:marTop w:val="0"/>
      <w:marBottom w:val="0"/>
      <w:divBdr>
        <w:top w:val="none" w:sz="0" w:space="0" w:color="auto"/>
        <w:left w:val="none" w:sz="0" w:space="0" w:color="auto"/>
        <w:bottom w:val="none" w:sz="0" w:space="0" w:color="auto"/>
        <w:right w:val="none" w:sz="0" w:space="0" w:color="auto"/>
      </w:divBdr>
    </w:div>
    <w:div w:id="1249771757">
      <w:bodyDiv w:val="1"/>
      <w:marLeft w:val="0"/>
      <w:marRight w:val="0"/>
      <w:marTop w:val="0"/>
      <w:marBottom w:val="0"/>
      <w:divBdr>
        <w:top w:val="none" w:sz="0" w:space="0" w:color="auto"/>
        <w:left w:val="none" w:sz="0" w:space="0" w:color="auto"/>
        <w:bottom w:val="none" w:sz="0" w:space="0" w:color="auto"/>
        <w:right w:val="none" w:sz="0" w:space="0" w:color="auto"/>
      </w:divBdr>
    </w:div>
    <w:div w:id="1345280707">
      <w:bodyDiv w:val="1"/>
      <w:marLeft w:val="0"/>
      <w:marRight w:val="0"/>
      <w:marTop w:val="0"/>
      <w:marBottom w:val="0"/>
      <w:divBdr>
        <w:top w:val="none" w:sz="0" w:space="0" w:color="auto"/>
        <w:left w:val="none" w:sz="0" w:space="0" w:color="auto"/>
        <w:bottom w:val="none" w:sz="0" w:space="0" w:color="auto"/>
        <w:right w:val="none" w:sz="0" w:space="0" w:color="auto"/>
      </w:divBdr>
    </w:div>
    <w:div w:id="1512571710">
      <w:bodyDiv w:val="1"/>
      <w:marLeft w:val="0"/>
      <w:marRight w:val="0"/>
      <w:marTop w:val="0"/>
      <w:marBottom w:val="0"/>
      <w:divBdr>
        <w:top w:val="none" w:sz="0" w:space="0" w:color="auto"/>
        <w:left w:val="none" w:sz="0" w:space="0" w:color="auto"/>
        <w:bottom w:val="none" w:sz="0" w:space="0" w:color="auto"/>
        <w:right w:val="none" w:sz="0" w:space="0" w:color="auto"/>
      </w:divBdr>
    </w:div>
    <w:div w:id="209547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FEFA9-07AF-4F7A-9ED9-5AE91D4EA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Transcore Link Logistics</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Campbell-Jones, Karen</dc:creator>
  <cp:lastModifiedBy>McHale, Mimi</cp:lastModifiedBy>
  <cp:revision>4</cp:revision>
  <cp:lastPrinted>2015-01-12T14:51:00Z</cp:lastPrinted>
  <dcterms:created xsi:type="dcterms:W3CDTF">2019-01-10T14:27:00Z</dcterms:created>
  <dcterms:modified xsi:type="dcterms:W3CDTF">2019-01-10T14:39:00Z</dcterms:modified>
</cp:coreProperties>
</file>