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7286" w14:textId="77777777"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14:paraId="242B541A" w14:textId="77777777"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14:paraId="2D461F9F" w14:textId="05C5D0C9" w:rsidR="00CF4448" w:rsidRPr="00BB1C73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B1C73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>V</w:t>
      </w:r>
      <w:r w:rsidRPr="00BB1C73">
        <w:rPr>
          <w:rFonts w:ascii="Arial" w:eastAsia="Calibri" w:hAnsi="Arial" w:cs="Arial"/>
          <w:bCs/>
          <w:sz w:val="22"/>
          <w:szCs w:val="22"/>
        </w:rPr>
        <w:t>olumes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F06EE">
        <w:rPr>
          <w:rFonts w:ascii="Arial" w:eastAsia="Calibri" w:hAnsi="Arial" w:cs="Arial"/>
          <w:bCs/>
          <w:sz w:val="22"/>
          <w:szCs w:val="22"/>
        </w:rPr>
        <w:t>increased</w:t>
      </w:r>
      <w:r w:rsidR="007C556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F06EE">
        <w:rPr>
          <w:rFonts w:ascii="Arial" w:eastAsia="Calibri" w:hAnsi="Arial" w:cs="Arial"/>
          <w:bCs/>
          <w:sz w:val="22"/>
          <w:szCs w:val="22"/>
        </w:rPr>
        <w:t>12</w:t>
      </w:r>
      <w:r w:rsidR="00E92705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220A5" w:rsidRPr="00BB1C73">
        <w:rPr>
          <w:rFonts w:ascii="Arial" w:eastAsia="Calibri" w:hAnsi="Arial" w:cs="Arial"/>
          <w:bCs/>
          <w:sz w:val="22"/>
          <w:szCs w:val="22"/>
        </w:rPr>
        <w:t>percent</w:t>
      </w:r>
      <w:r w:rsidR="000C0137" w:rsidRPr="00BB1C73">
        <w:rPr>
          <w:rFonts w:ascii="Arial" w:eastAsia="Calibri" w:hAnsi="Arial" w:cs="Arial"/>
          <w:bCs/>
          <w:sz w:val="22"/>
          <w:szCs w:val="22"/>
        </w:rPr>
        <w:t xml:space="preserve"> compared to</w:t>
      </w:r>
      <w:r w:rsidR="006F06EE">
        <w:rPr>
          <w:rFonts w:ascii="Arial" w:eastAsia="Calibri" w:hAnsi="Arial" w:cs="Arial"/>
          <w:bCs/>
          <w:sz w:val="22"/>
          <w:szCs w:val="22"/>
        </w:rPr>
        <w:t xml:space="preserve"> April</w:t>
      </w:r>
      <w:r w:rsidR="00E87B9A">
        <w:rPr>
          <w:rFonts w:ascii="Arial" w:eastAsia="Calibri" w:hAnsi="Arial" w:cs="Arial"/>
          <w:bCs/>
          <w:sz w:val="22"/>
          <w:szCs w:val="22"/>
        </w:rPr>
        <w:t xml:space="preserve"> 2019</w:t>
      </w:r>
      <w:r w:rsidR="00FF7195" w:rsidRPr="00BB1C73">
        <w:rPr>
          <w:rFonts w:ascii="Arial" w:eastAsia="Calibri" w:hAnsi="Arial" w:cs="Arial"/>
          <w:bCs/>
          <w:sz w:val="22"/>
          <w:szCs w:val="22"/>
        </w:rPr>
        <w:t>.</w:t>
      </w:r>
    </w:p>
    <w:p w14:paraId="16A09EA5" w14:textId="086126FA" w:rsidR="001A7C84" w:rsidRDefault="00CF4448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1A1025">
        <w:rPr>
          <w:rFonts w:ascii="Arial" w:hAnsi="Arial" w:cs="Arial"/>
          <w:b/>
          <w:bCs/>
          <w:sz w:val="22"/>
          <w:szCs w:val="22"/>
        </w:rPr>
        <w:t>Year-over-yea</w:t>
      </w:r>
      <w:r w:rsidRPr="001A1025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1A1025">
        <w:rPr>
          <w:rFonts w:ascii="Arial" w:eastAsia="Calibri" w:hAnsi="Arial" w:cs="Arial"/>
          <w:bCs/>
          <w:sz w:val="22"/>
          <w:szCs w:val="22"/>
        </w:rPr>
        <w:t>V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823AAA">
        <w:rPr>
          <w:rFonts w:ascii="Arial" w:eastAsia="Calibri" w:hAnsi="Arial" w:cs="Arial"/>
          <w:bCs/>
          <w:sz w:val="22"/>
          <w:szCs w:val="22"/>
        </w:rPr>
        <w:t>de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>creased</w:t>
      </w:r>
      <w:r w:rsidR="005C20E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F06EE">
        <w:rPr>
          <w:rFonts w:ascii="Arial" w:eastAsia="Calibri" w:hAnsi="Arial" w:cs="Arial"/>
          <w:bCs/>
          <w:sz w:val="22"/>
          <w:szCs w:val="22"/>
        </w:rPr>
        <w:t>35</w:t>
      </w:r>
      <w:r w:rsidR="00BC3ADB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percent </w:t>
      </w:r>
      <w:r w:rsidR="00864FB1" w:rsidRPr="001A1025">
        <w:rPr>
          <w:rFonts w:ascii="Arial" w:eastAsia="Calibri" w:hAnsi="Arial" w:cs="Arial"/>
          <w:bCs/>
          <w:sz w:val="22"/>
          <w:szCs w:val="22"/>
        </w:rPr>
        <w:t>c</w:t>
      </w:r>
      <w:r w:rsidRPr="001A1025">
        <w:rPr>
          <w:rFonts w:ascii="Arial" w:eastAsia="Calibri" w:hAnsi="Arial" w:cs="Arial"/>
          <w:bCs/>
          <w:sz w:val="22"/>
          <w:szCs w:val="22"/>
        </w:rPr>
        <w:t>ompared to</w:t>
      </w:r>
      <w:r w:rsidR="007C556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F06EE">
        <w:rPr>
          <w:rFonts w:ascii="Arial" w:eastAsia="Calibri" w:hAnsi="Arial" w:cs="Arial"/>
          <w:bCs/>
          <w:sz w:val="22"/>
          <w:szCs w:val="22"/>
        </w:rPr>
        <w:t>May</w:t>
      </w:r>
      <w:r w:rsidR="00DE6EAB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74A68" w:rsidRPr="001A1025">
        <w:rPr>
          <w:rFonts w:ascii="Arial" w:eastAsia="Calibri" w:hAnsi="Arial" w:cs="Arial"/>
          <w:bCs/>
          <w:sz w:val="22"/>
          <w:szCs w:val="22"/>
        </w:rPr>
        <w:t>201</w:t>
      </w:r>
      <w:r w:rsidR="007C5564">
        <w:rPr>
          <w:rFonts w:ascii="Arial" w:eastAsia="Calibri" w:hAnsi="Arial" w:cs="Arial"/>
          <w:bCs/>
          <w:sz w:val="22"/>
          <w:szCs w:val="22"/>
        </w:rPr>
        <w:t>8</w:t>
      </w:r>
      <w:r w:rsidR="00FF7195" w:rsidRPr="001A1025">
        <w:rPr>
          <w:rFonts w:ascii="Arial" w:eastAsia="Calibri" w:hAnsi="Arial" w:cs="Arial"/>
          <w:bCs/>
          <w:sz w:val="22"/>
          <w:szCs w:val="22"/>
        </w:rPr>
        <w:t>.</w:t>
      </w:r>
    </w:p>
    <w:p w14:paraId="2290C2FD" w14:textId="322D4D8E" w:rsidR="00BB73F5" w:rsidRPr="005553D7" w:rsidRDefault="001A7C84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Cs/>
          <w:sz w:val="22"/>
          <w:szCs w:val="22"/>
        </w:rPr>
      </w:pPr>
      <w:r w:rsidRPr="001A7C84">
        <w:rPr>
          <w:rFonts w:ascii="Arial" w:hAnsi="Arial" w:cs="Arial"/>
          <w:b/>
          <w:bCs/>
          <w:sz w:val="22"/>
          <w:szCs w:val="22"/>
        </w:rPr>
        <w:t>Highlights</w:t>
      </w:r>
      <w:r w:rsidRPr="001A7C84">
        <w:rPr>
          <w:rFonts w:ascii="Arial" w:hAnsi="Arial" w:cs="Arial"/>
          <w:b/>
          <w:bCs/>
        </w:rPr>
        <w:t>:</w:t>
      </w:r>
      <w:r w:rsidR="008A12B2">
        <w:rPr>
          <w:rFonts w:ascii="Arial" w:hAnsi="Arial" w:cs="Arial"/>
          <w:b/>
          <w:bCs/>
        </w:rPr>
        <w:t xml:space="preserve"> </w:t>
      </w:r>
    </w:p>
    <w:p w14:paraId="6443F5F5" w14:textId="5569EB3E" w:rsidR="001A7C84" w:rsidRPr="005553D7" w:rsidRDefault="001A7C84" w:rsidP="00E92705">
      <w:pPr>
        <w:ind w:left="360"/>
        <w:rPr>
          <w:rFonts w:ascii="Arial" w:hAnsi="Arial" w:cs="Arial"/>
          <w:sz w:val="22"/>
        </w:rPr>
      </w:pPr>
      <w:r w:rsidRPr="005553D7">
        <w:rPr>
          <w:rFonts w:ascii="Arial" w:hAnsi="Arial" w:cs="Arial"/>
          <w:b/>
          <w:sz w:val="22"/>
          <w:szCs w:val="22"/>
        </w:rPr>
        <w:t>Truck-to-load ratio:</w:t>
      </w:r>
      <w:r w:rsidR="00B21E07" w:rsidRPr="005553D7">
        <w:rPr>
          <w:rFonts w:ascii="Arial" w:hAnsi="Arial" w:cs="Arial"/>
        </w:rPr>
        <w:t xml:space="preserve"> </w:t>
      </w:r>
      <w:r w:rsidR="006F06EE">
        <w:rPr>
          <w:rFonts w:ascii="Arial" w:hAnsi="Arial" w:cs="Arial"/>
          <w:sz w:val="22"/>
        </w:rPr>
        <w:t>The ratio</w:t>
      </w:r>
      <w:r w:rsidR="00B21E07" w:rsidRPr="005553D7">
        <w:rPr>
          <w:rFonts w:ascii="Arial" w:hAnsi="Arial" w:cs="Arial"/>
          <w:sz w:val="22"/>
        </w:rPr>
        <w:t xml:space="preserve"> </w:t>
      </w:r>
      <w:r w:rsidR="006F06EE">
        <w:rPr>
          <w:rFonts w:ascii="Arial" w:hAnsi="Arial" w:cs="Arial"/>
          <w:sz w:val="22"/>
        </w:rPr>
        <w:t>decreased five</w:t>
      </w:r>
      <w:r w:rsidR="007C5564" w:rsidRPr="005553D7">
        <w:rPr>
          <w:rFonts w:ascii="Arial" w:hAnsi="Arial" w:cs="Arial"/>
          <w:sz w:val="22"/>
        </w:rPr>
        <w:t xml:space="preserve"> percent </w:t>
      </w:r>
      <w:r w:rsidR="00B21E07" w:rsidRPr="005553D7">
        <w:rPr>
          <w:rFonts w:ascii="Arial" w:hAnsi="Arial" w:cs="Arial"/>
          <w:sz w:val="22"/>
        </w:rPr>
        <w:t xml:space="preserve">to </w:t>
      </w:r>
      <w:r w:rsidR="00DE6EAB">
        <w:rPr>
          <w:rFonts w:ascii="Arial" w:hAnsi="Arial" w:cs="Arial"/>
          <w:sz w:val="22"/>
        </w:rPr>
        <w:t>3</w:t>
      </w:r>
      <w:r w:rsidR="00E87B9A">
        <w:rPr>
          <w:rFonts w:ascii="Arial" w:hAnsi="Arial" w:cs="Arial"/>
          <w:sz w:val="22"/>
        </w:rPr>
        <w:t>.</w:t>
      </w:r>
      <w:r w:rsidR="006F06EE">
        <w:rPr>
          <w:rFonts w:ascii="Arial" w:hAnsi="Arial" w:cs="Arial"/>
          <w:sz w:val="22"/>
        </w:rPr>
        <w:t>57</w:t>
      </w:r>
      <w:r w:rsidR="00B21E07" w:rsidRPr="005553D7">
        <w:rPr>
          <w:rFonts w:ascii="Arial" w:hAnsi="Arial" w:cs="Arial"/>
          <w:sz w:val="22"/>
        </w:rPr>
        <w:t xml:space="preserve"> from </w:t>
      </w:r>
      <w:r w:rsidR="006F06EE">
        <w:rPr>
          <w:rFonts w:ascii="Arial" w:hAnsi="Arial" w:cs="Arial"/>
          <w:sz w:val="22"/>
        </w:rPr>
        <w:t>3</w:t>
      </w:r>
      <w:r w:rsidR="00E87B9A">
        <w:rPr>
          <w:rFonts w:ascii="Arial" w:hAnsi="Arial" w:cs="Arial"/>
          <w:sz w:val="22"/>
        </w:rPr>
        <w:t>.</w:t>
      </w:r>
      <w:r w:rsidR="006F06EE">
        <w:rPr>
          <w:rFonts w:ascii="Arial" w:hAnsi="Arial" w:cs="Arial"/>
          <w:sz w:val="22"/>
        </w:rPr>
        <w:t>78</w:t>
      </w:r>
      <w:r w:rsidR="00B21E07" w:rsidRPr="005553D7">
        <w:rPr>
          <w:rFonts w:ascii="Arial" w:hAnsi="Arial" w:cs="Arial"/>
          <w:sz w:val="22"/>
        </w:rPr>
        <w:t xml:space="preserve"> in</w:t>
      </w:r>
      <w:r w:rsidR="005C20E9" w:rsidRPr="005553D7">
        <w:rPr>
          <w:rFonts w:ascii="Arial" w:hAnsi="Arial" w:cs="Arial"/>
          <w:sz w:val="22"/>
        </w:rPr>
        <w:t xml:space="preserve"> </w:t>
      </w:r>
      <w:r w:rsidR="006F06EE">
        <w:rPr>
          <w:rFonts w:ascii="Arial" w:hAnsi="Arial" w:cs="Arial"/>
          <w:sz w:val="22"/>
        </w:rPr>
        <w:t>April</w:t>
      </w:r>
      <w:r w:rsidR="00E87B9A">
        <w:rPr>
          <w:rFonts w:ascii="Arial" w:hAnsi="Arial" w:cs="Arial"/>
          <w:sz w:val="22"/>
        </w:rPr>
        <w:t xml:space="preserve"> 2019</w:t>
      </w:r>
      <w:r w:rsidR="00B21E07" w:rsidRPr="005553D7">
        <w:rPr>
          <w:rFonts w:ascii="Arial" w:hAnsi="Arial" w:cs="Arial"/>
          <w:sz w:val="22"/>
        </w:rPr>
        <w:t xml:space="preserve">. </w:t>
      </w:r>
      <w:r w:rsidR="00893FB7" w:rsidRPr="005553D7">
        <w:rPr>
          <w:rFonts w:ascii="Arial" w:hAnsi="Arial" w:cs="Arial"/>
          <w:sz w:val="22"/>
        </w:rPr>
        <w:t xml:space="preserve">Year-over-year, </w:t>
      </w:r>
      <w:r w:rsidR="006F06EE">
        <w:rPr>
          <w:rFonts w:ascii="Arial" w:hAnsi="Arial" w:cs="Arial"/>
          <w:sz w:val="22"/>
        </w:rPr>
        <w:t>May</w:t>
      </w:r>
      <w:r w:rsidR="00DE6EAB">
        <w:rPr>
          <w:rFonts w:ascii="Arial" w:hAnsi="Arial" w:cs="Arial"/>
          <w:sz w:val="22"/>
        </w:rPr>
        <w:t>’</w:t>
      </w:r>
      <w:r w:rsidR="00DE6EAB" w:rsidRPr="005553D7">
        <w:rPr>
          <w:rFonts w:ascii="Arial" w:hAnsi="Arial" w:cs="Arial"/>
          <w:sz w:val="22"/>
        </w:rPr>
        <w:t xml:space="preserve">s </w:t>
      </w:r>
      <w:r w:rsidR="00E87B9A">
        <w:rPr>
          <w:rFonts w:ascii="Arial" w:hAnsi="Arial" w:cs="Arial"/>
          <w:sz w:val="22"/>
        </w:rPr>
        <w:t xml:space="preserve">truck-to-load ratio </w:t>
      </w:r>
      <w:r w:rsidR="002707AD">
        <w:rPr>
          <w:rFonts w:ascii="Arial" w:hAnsi="Arial" w:cs="Arial"/>
          <w:sz w:val="22"/>
        </w:rPr>
        <w:t>increased</w:t>
      </w:r>
      <w:r w:rsidR="00C94FB3" w:rsidRPr="005553D7">
        <w:rPr>
          <w:rFonts w:ascii="Arial" w:hAnsi="Arial" w:cs="Arial"/>
          <w:sz w:val="22"/>
        </w:rPr>
        <w:t xml:space="preserve"> </w:t>
      </w:r>
      <w:r w:rsidR="00E87B9A">
        <w:rPr>
          <w:rFonts w:ascii="Arial" w:hAnsi="Arial" w:cs="Arial"/>
          <w:sz w:val="22"/>
        </w:rPr>
        <w:t>1</w:t>
      </w:r>
      <w:r w:rsidR="006F06EE">
        <w:rPr>
          <w:rFonts w:ascii="Arial" w:hAnsi="Arial" w:cs="Arial"/>
          <w:sz w:val="22"/>
        </w:rPr>
        <w:t>34</w:t>
      </w:r>
      <w:r w:rsidR="007C5564" w:rsidRPr="005553D7">
        <w:rPr>
          <w:rFonts w:ascii="Arial" w:hAnsi="Arial" w:cs="Arial"/>
          <w:sz w:val="22"/>
        </w:rPr>
        <w:t xml:space="preserve"> percent </w:t>
      </w:r>
      <w:r w:rsidR="00DE6EAB">
        <w:rPr>
          <w:rFonts w:ascii="Arial" w:hAnsi="Arial" w:cs="Arial"/>
          <w:sz w:val="22"/>
        </w:rPr>
        <w:t>compared to</w:t>
      </w:r>
      <w:r w:rsidR="00893FB7" w:rsidRPr="005553D7">
        <w:rPr>
          <w:rFonts w:ascii="Arial" w:hAnsi="Arial" w:cs="Arial"/>
          <w:sz w:val="22"/>
        </w:rPr>
        <w:t xml:space="preserve"> </w:t>
      </w:r>
      <w:r w:rsidR="006F06EE">
        <w:rPr>
          <w:rFonts w:ascii="Arial" w:hAnsi="Arial" w:cs="Arial"/>
          <w:sz w:val="22"/>
        </w:rPr>
        <w:t>1.5</w:t>
      </w:r>
      <w:r w:rsidR="00DE6EAB">
        <w:rPr>
          <w:rFonts w:ascii="Arial" w:hAnsi="Arial" w:cs="Arial"/>
          <w:sz w:val="22"/>
        </w:rPr>
        <w:t>2</w:t>
      </w:r>
      <w:r w:rsidR="00893FB7" w:rsidRPr="005553D7">
        <w:rPr>
          <w:rFonts w:ascii="Arial" w:hAnsi="Arial" w:cs="Arial"/>
          <w:sz w:val="22"/>
        </w:rPr>
        <w:t xml:space="preserve"> trucks for every</w:t>
      </w:r>
      <w:r w:rsidR="002707AD">
        <w:rPr>
          <w:rFonts w:ascii="Arial" w:hAnsi="Arial" w:cs="Arial"/>
          <w:sz w:val="22"/>
        </w:rPr>
        <w:t xml:space="preserve"> one</w:t>
      </w:r>
      <w:r w:rsidR="00893FB7" w:rsidRPr="005553D7">
        <w:rPr>
          <w:rFonts w:ascii="Arial" w:hAnsi="Arial" w:cs="Arial"/>
          <w:sz w:val="22"/>
        </w:rPr>
        <w:t xml:space="preserve"> load available</w:t>
      </w:r>
      <w:r w:rsidR="00486B78">
        <w:rPr>
          <w:rFonts w:ascii="Arial" w:hAnsi="Arial" w:cs="Arial"/>
          <w:sz w:val="22"/>
        </w:rPr>
        <w:t xml:space="preserve"> recorded in </w:t>
      </w:r>
      <w:r w:rsidR="006F06EE">
        <w:rPr>
          <w:rFonts w:ascii="Arial" w:hAnsi="Arial" w:cs="Arial"/>
          <w:sz w:val="22"/>
        </w:rPr>
        <w:t xml:space="preserve">May </w:t>
      </w:r>
      <w:r w:rsidR="00486B78">
        <w:rPr>
          <w:rFonts w:ascii="Arial" w:hAnsi="Arial" w:cs="Arial"/>
          <w:sz w:val="22"/>
        </w:rPr>
        <w:t>2018</w:t>
      </w:r>
      <w:r w:rsidR="00893FB7" w:rsidRPr="005553D7">
        <w:rPr>
          <w:rFonts w:ascii="Arial" w:hAnsi="Arial" w:cs="Arial"/>
          <w:sz w:val="22"/>
        </w:rPr>
        <w:t>.</w:t>
      </w:r>
      <w:r w:rsidR="005C20E9" w:rsidRPr="005553D7">
        <w:rPr>
          <w:rFonts w:ascii="Arial" w:hAnsi="Arial" w:cs="Arial"/>
          <w:sz w:val="22"/>
        </w:rPr>
        <w:t xml:space="preserve"> </w:t>
      </w:r>
    </w:p>
    <w:p w14:paraId="1AAB4B41" w14:textId="77777777" w:rsidR="005553D7" w:rsidRPr="005553D7" w:rsidRDefault="005553D7" w:rsidP="00E92705">
      <w:pPr>
        <w:ind w:left="360"/>
        <w:rPr>
          <w:rFonts w:ascii="Arial" w:hAnsi="Arial" w:cs="Arial"/>
          <w:b/>
          <w:sz w:val="22"/>
          <w:szCs w:val="22"/>
        </w:rPr>
      </w:pPr>
    </w:p>
    <w:p w14:paraId="72DF89FB" w14:textId="7883C032" w:rsidR="00A94B52" w:rsidRDefault="005553D7" w:rsidP="00F06937">
      <w:pPr>
        <w:ind w:left="360"/>
        <w:rPr>
          <w:rFonts w:ascii="Arial" w:hAnsi="Arial" w:cs="Arial"/>
          <w:sz w:val="22"/>
        </w:rPr>
      </w:pPr>
      <w:r w:rsidRPr="008E792F">
        <w:rPr>
          <w:rFonts w:ascii="Arial" w:hAnsi="Arial" w:cs="Arial"/>
          <w:b/>
          <w:sz w:val="22"/>
        </w:rPr>
        <w:t xml:space="preserve">Load </w:t>
      </w:r>
      <w:r w:rsidR="002707AD" w:rsidRPr="008E792F">
        <w:rPr>
          <w:rFonts w:ascii="Arial" w:hAnsi="Arial" w:cs="Arial"/>
          <w:b/>
          <w:sz w:val="22"/>
        </w:rPr>
        <w:t>and</w:t>
      </w:r>
      <w:r w:rsidRPr="008E792F">
        <w:rPr>
          <w:rFonts w:ascii="Arial" w:hAnsi="Arial" w:cs="Arial"/>
          <w:b/>
          <w:sz w:val="22"/>
        </w:rPr>
        <w:t xml:space="preserve"> Equipment </w:t>
      </w:r>
      <w:r w:rsidR="002707AD" w:rsidRPr="008E792F">
        <w:rPr>
          <w:rFonts w:ascii="Arial" w:hAnsi="Arial" w:cs="Arial"/>
          <w:b/>
          <w:sz w:val="22"/>
        </w:rPr>
        <w:t>T</w:t>
      </w:r>
      <w:r w:rsidRPr="008E792F">
        <w:rPr>
          <w:rFonts w:ascii="Arial" w:hAnsi="Arial" w:cs="Arial"/>
          <w:b/>
          <w:sz w:val="22"/>
        </w:rPr>
        <w:t>rend:</w:t>
      </w:r>
      <w:r w:rsidRPr="008E792F">
        <w:rPr>
          <w:rFonts w:ascii="Arial" w:hAnsi="Arial" w:cs="Arial"/>
          <w:sz w:val="22"/>
        </w:rPr>
        <w:t xml:space="preserve"> </w:t>
      </w:r>
      <w:r w:rsidR="00A94B52">
        <w:rPr>
          <w:rFonts w:ascii="Arial" w:hAnsi="Arial" w:cs="Arial"/>
          <w:sz w:val="22"/>
        </w:rPr>
        <w:t>For the month of May, the a</w:t>
      </w:r>
      <w:r w:rsidR="00E87B9A" w:rsidRPr="008E792F">
        <w:rPr>
          <w:rFonts w:ascii="Arial" w:hAnsi="Arial" w:cs="Arial"/>
          <w:sz w:val="22"/>
        </w:rPr>
        <w:t xml:space="preserve">verage daily </w:t>
      </w:r>
      <w:r w:rsidR="00665886" w:rsidRPr="008E792F">
        <w:rPr>
          <w:rFonts w:ascii="Arial" w:hAnsi="Arial" w:cs="Arial"/>
          <w:sz w:val="22"/>
        </w:rPr>
        <w:t>truck</w:t>
      </w:r>
      <w:r w:rsidR="00E87B9A" w:rsidRPr="008E792F">
        <w:rPr>
          <w:rFonts w:ascii="Arial" w:hAnsi="Arial" w:cs="Arial"/>
          <w:sz w:val="22"/>
        </w:rPr>
        <w:t xml:space="preserve"> postings </w:t>
      </w:r>
      <w:r w:rsidR="00665886" w:rsidRPr="008E792F">
        <w:rPr>
          <w:rFonts w:ascii="Arial" w:hAnsi="Arial" w:cs="Arial"/>
          <w:sz w:val="22"/>
        </w:rPr>
        <w:t>increased</w:t>
      </w:r>
      <w:r w:rsidR="00E87B9A" w:rsidRPr="008E792F">
        <w:rPr>
          <w:rFonts w:ascii="Arial" w:hAnsi="Arial" w:cs="Arial"/>
          <w:sz w:val="22"/>
        </w:rPr>
        <w:t xml:space="preserve"> </w:t>
      </w:r>
      <w:r w:rsidR="002F37F6">
        <w:rPr>
          <w:rFonts w:ascii="Arial" w:hAnsi="Arial" w:cs="Arial"/>
          <w:sz w:val="22"/>
        </w:rPr>
        <w:t>just one</w:t>
      </w:r>
      <w:r w:rsidR="00F06937" w:rsidRPr="008E792F">
        <w:rPr>
          <w:rFonts w:ascii="Arial" w:hAnsi="Arial" w:cs="Arial"/>
          <w:sz w:val="22"/>
        </w:rPr>
        <w:t xml:space="preserve"> percent</w:t>
      </w:r>
      <w:r w:rsidR="00486B78" w:rsidRPr="008E792F">
        <w:rPr>
          <w:rFonts w:ascii="Arial" w:hAnsi="Arial" w:cs="Arial"/>
          <w:sz w:val="22"/>
        </w:rPr>
        <w:t>,</w:t>
      </w:r>
      <w:r w:rsidR="00E87B9A" w:rsidRPr="008E792F">
        <w:rPr>
          <w:rFonts w:ascii="Arial" w:hAnsi="Arial" w:cs="Arial"/>
          <w:sz w:val="22"/>
        </w:rPr>
        <w:t xml:space="preserve"> while daily </w:t>
      </w:r>
      <w:r w:rsidR="00665886" w:rsidRPr="008E792F">
        <w:rPr>
          <w:rFonts w:ascii="Arial" w:hAnsi="Arial" w:cs="Arial"/>
          <w:sz w:val="22"/>
        </w:rPr>
        <w:t>load</w:t>
      </w:r>
      <w:r w:rsidR="00E87B9A" w:rsidRPr="008E792F">
        <w:rPr>
          <w:rFonts w:ascii="Arial" w:hAnsi="Arial" w:cs="Arial"/>
          <w:sz w:val="22"/>
        </w:rPr>
        <w:t xml:space="preserve"> p</w:t>
      </w:r>
      <w:r w:rsidR="00953C19" w:rsidRPr="008E792F">
        <w:rPr>
          <w:rFonts w:ascii="Arial" w:hAnsi="Arial" w:cs="Arial"/>
          <w:sz w:val="22"/>
        </w:rPr>
        <w:t xml:space="preserve">ostings </w:t>
      </w:r>
      <w:r w:rsidR="002F37F6">
        <w:rPr>
          <w:rFonts w:ascii="Arial" w:hAnsi="Arial" w:cs="Arial"/>
          <w:sz w:val="22"/>
        </w:rPr>
        <w:t>rebounded upwards six</w:t>
      </w:r>
      <w:r w:rsidR="00665886" w:rsidRPr="008E792F">
        <w:rPr>
          <w:rFonts w:ascii="Arial" w:hAnsi="Arial" w:cs="Arial"/>
          <w:sz w:val="22"/>
        </w:rPr>
        <w:t xml:space="preserve"> percent. </w:t>
      </w:r>
      <w:r w:rsidR="002F37F6">
        <w:rPr>
          <w:rFonts w:ascii="Arial" w:hAnsi="Arial" w:cs="Arial"/>
          <w:sz w:val="22"/>
        </w:rPr>
        <w:t>An overall increase of five percent in total truck postings resulted in another</w:t>
      </w:r>
      <w:r w:rsidR="00665886" w:rsidRPr="008E792F">
        <w:rPr>
          <w:rFonts w:ascii="Arial" w:hAnsi="Arial" w:cs="Arial"/>
          <w:sz w:val="22"/>
        </w:rPr>
        <w:t xml:space="preserve"> </w:t>
      </w:r>
      <w:r w:rsidR="00F91820">
        <w:rPr>
          <w:rFonts w:ascii="Arial" w:hAnsi="Arial" w:cs="Arial"/>
          <w:sz w:val="22"/>
        </w:rPr>
        <w:t xml:space="preserve">record month for highest truck volumes </w:t>
      </w:r>
      <w:r w:rsidR="00665886" w:rsidRPr="008E792F">
        <w:rPr>
          <w:rFonts w:ascii="Arial" w:hAnsi="Arial" w:cs="Arial"/>
          <w:sz w:val="22"/>
        </w:rPr>
        <w:t xml:space="preserve">recorded in Loadlink’s database. </w:t>
      </w:r>
    </w:p>
    <w:p w14:paraId="70FB5BB5" w14:textId="77777777" w:rsidR="00A94B52" w:rsidRDefault="00A94B52" w:rsidP="00F06937">
      <w:pPr>
        <w:ind w:left="360"/>
        <w:rPr>
          <w:rFonts w:ascii="Arial" w:hAnsi="Arial" w:cs="Arial"/>
          <w:sz w:val="22"/>
        </w:rPr>
      </w:pPr>
    </w:p>
    <w:p w14:paraId="51C224A9" w14:textId="04BD65E9" w:rsidR="00665886" w:rsidRDefault="00F91820" w:rsidP="00F0693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forecasted last month, May load volumes recovered from expectedly lower April numbers.</w:t>
      </w:r>
      <w:r w:rsidR="00665886" w:rsidRPr="008E792F">
        <w:rPr>
          <w:rFonts w:ascii="Arial" w:hAnsi="Arial" w:cs="Arial"/>
          <w:sz w:val="22"/>
        </w:rPr>
        <w:t xml:space="preserve"> </w:t>
      </w:r>
      <w:r w:rsidR="00073F2B">
        <w:rPr>
          <w:rFonts w:ascii="Arial" w:hAnsi="Arial" w:cs="Arial"/>
          <w:sz w:val="22"/>
        </w:rPr>
        <w:t>June load volumes have generally followed May values closely, with the</w:t>
      </w:r>
      <w:r>
        <w:rPr>
          <w:rFonts w:ascii="Arial" w:hAnsi="Arial" w:cs="Arial"/>
          <w:sz w:val="22"/>
        </w:rPr>
        <w:t xml:space="preserve"> average change in load vo</w:t>
      </w:r>
      <w:r w:rsidR="00073F2B">
        <w:rPr>
          <w:rFonts w:ascii="Arial" w:hAnsi="Arial" w:cs="Arial"/>
          <w:sz w:val="22"/>
        </w:rPr>
        <w:t>lumes between June and May from 2002 to 2018 be</w:t>
      </w:r>
      <w:bookmarkStart w:id="0" w:name="_GoBack"/>
      <w:bookmarkEnd w:id="0"/>
      <w:r w:rsidR="00073F2B">
        <w:rPr>
          <w:rFonts w:ascii="Arial" w:hAnsi="Arial" w:cs="Arial"/>
          <w:sz w:val="22"/>
        </w:rPr>
        <w:t>ing a one percentage point increase month-over-month (compared to an average 12 percent increase from April to May between the same time frame).</w:t>
      </w:r>
    </w:p>
    <w:p w14:paraId="0C43B05C" w14:textId="77777777" w:rsidR="00BB73F5" w:rsidRDefault="00BB73F5" w:rsidP="008E792F">
      <w:pPr>
        <w:rPr>
          <w:rFonts w:ascii="Arial" w:hAnsi="Arial" w:cs="Arial"/>
          <w:b/>
          <w:bCs/>
          <w:sz w:val="22"/>
          <w:szCs w:val="22"/>
        </w:rPr>
      </w:pPr>
    </w:p>
    <w:p w14:paraId="2BD5380F" w14:textId="04047E9D" w:rsidR="00CF4448" w:rsidRPr="0037415F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7415F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37415F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7E5BE0">
        <w:rPr>
          <w:rFonts w:ascii="Arial" w:hAnsi="Arial" w:cs="Arial"/>
          <w:bCs/>
          <w:sz w:val="22"/>
          <w:szCs w:val="22"/>
        </w:rPr>
        <w:t>6</w:t>
      </w:r>
      <w:r w:rsidR="00073F2B">
        <w:rPr>
          <w:rFonts w:ascii="Arial" w:hAnsi="Arial" w:cs="Arial"/>
          <w:bCs/>
          <w:sz w:val="22"/>
          <w:szCs w:val="22"/>
        </w:rPr>
        <w:t>6</w:t>
      </w:r>
      <w:r w:rsidR="00BC3ADB" w:rsidRPr="0037415F">
        <w:rPr>
          <w:rFonts w:ascii="Arial" w:hAnsi="Arial" w:cs="Arial"/>
          <w:bCs/>
          <w:sz w:val="22"/>
          <w:szCs w:val="22"/>
        </w:rPr>
        <w:t xml:space="preserve"> </w:t>
      </w:r>
      <w:r w:rsidRPr="0037415F">
        <w:rPr>
          <w:rFonts w:ascii="Arial" w:hAnsi="Arial" w:cs="Arial"/>
          <w:bCs/>
          <w:sz w:val="22"/>
          <w:szCs w:val="22"/>
        </w:rPr>
        <w:t>percent of the data submitted by Loadlink’s Canadian-based customers</w:t>
      </w:r>
      <w:r w:rsidR="00FF7195" w:rsidRPr="0037415F">
        <w:rPr>
          <w:rFonts w:ascii="Arial" w:hAnsi="Arial" w:cs="Arial"/>
          <w:bCs/>
          <w:sz w:val="22"/>
          <w:szCs w:val="22"/>
        </w:rPr>
        <w:t>.</w:t>
      </w:r>
    </w:p>
    <w:p w14:paraId="2DD459E9" w14:textId="77777777" w:rsidR="008370BD" w:rsidRPr="0037415F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14:paraId="468A1DE7" w14:textId="0727BC0D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 border loads</w:t>
      </w:r>
      <w:r w:rsidRPr="0037415F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37415F">
        <w:rPr>
          <w:rFonts w:ascii="Arial" w:hAnsi="Arial" w:cs="Arial"/>
          <w:sz w:val="22"/>
          <w:szCs w:val="22"/>
        </w:rPr>
        <w:t xml:space="preserve">(from the United States to Canada) </w:t>
      </w:r>
      <w:r w:rsidR="003F3219">
        <w:rPr>
          <w:rFonts w:ascii="Arial" w:eastAsia="Calibri" w:hAnsi="Arial" w:cs="Arial"/>
          <w:sz w:val="22"/>
          <w:szCs w:val="22"/>
        </w:rPr>
        <w:t>decreased</w:t>
      </w:r>
      <w:r w:rsidR="00593D07">
        <w:rPr>
          <w:rFonts w:ascii="Arial" w:eastAsia="Calibri" w:hAnsi="Arial" w:cs="Arial"/>
          <w:sz w:val="22"/>
          <w:szCs w:val="22"/>
        </w:rPr>
        <w:t xml:space="preserve"> </w:t>
      </w:r>
      <w:r w:rsidR="00073F2B">
        <w:rPr>
          <w:rFonts w:ascii="Arial" w:eastAsia="Calibri" w:hAnsi="Arial" w:cs="Arial"/>
          <w:sz w:val="22"/>
          <w:szCs w:val="22"/>
        </w:rPr>
        <w:t>34</w:t>
      </w:r>
      <w:r w:rsidR="009A7C2E" w:rsidRPr="0037415F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sz w:val="22"/>
          <w:szCs w:val="22"/>
        </w:rPr>
        <w:t>percent</w:t>
      </w:r>
      <w:r w:rsidR="00B230F0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37415F">
        <w:rPr>
          <w:rFonts w:ascii="Arial" w:hAnsi="Arial" w:cs="Arial"/>
          <w:sz w:val="22"/>
          <w:szCs w:val="22"/>
        </w:rPr>
        <w:t>(from Canada to the U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>S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 xml:space="preserve">) </w:t>
      </w:r>
      <w:r w:rsidR="000A1DEB">
        <w:rPr>
          <w:rFonts w:ascii="Arial" w:eastAsia="Calibri" w:hAnsi="Arial" w:cs="Arial"/>
          <w:bCs/>
          <w:sz w:val="22"/>
          <w:szCs w:val="22"/>
        </w:rPr>
        <w:t>decreased</w:t>
      </w:r>
      <w:r w:rsidR="00593D07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73F2B">
        <w:rPr>
          <w:rFonts w:ascii="Arial" w:eastAsia="Calibri" w:hAnsi="Arial" w:cs="Arial"/>
          <w:bCs/>
          <w:sz w:val="22"/>
          <w:szCs w:val="22"/>
        </w:rPr>
        <w:t>47</w:t>
      </w:r>
      <w:r w:rsidR="009A7C2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37415F">
        <w:rPr>
          <w:rFonts w:ascii="Arial" w:eastAsia="Calibri" w:hAnsi="Arial" w:cs="Arial"/>
          <w:bCs/>
          <w:sz w:val="22"/>
          <w:szCs w:val="22"/>
        </w:rPr>
        <w:t>.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3BAA1417" w14:textId="2B62A272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 border equipment</w:t>
      </w:r>
      <w:r w:rsidR="000A1DEB">
        <w:rPr>
          <w:rFonts w:ascii="Arial" w:eastAsia="Calibri" w:hAnsi="Arial" w:cs="Arial"/>
          <w:bCs/>
          <w:sz w:val="22"/>
          <w:szCs w:val="22"/>
        </w:rPr>
        <w:t xml:space="preserve"> increased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73F2B">
        <w:rPr>
          <w:rFonts w:ascii="Arial" w:eastAsia="Calibri" w:hAnsi="Arial" w:cs="Arial"/>
          <w:bCs/>
          <w:sz w:val="22"/>
          <w:szCs w:val="22"/>
        </w:rPr>
        <w:t>50</w:t>
      </w:r>
      <w:r w:rsidR="009A7C2E"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="000A1DEB">
        <w:rPr>
          <w:rFonts w:ascii="Arial" w:eastAsia="Calibri" w:hAnsi="Arial" w:cs="Arial"/>
          <w:bCs/>
          <w:sz w:val="22"/>
          <w:szCs w:val="22"/>
        </w:rPr>
        <w:t>increased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73F2B">
        <w:rPr>
          <w:rFonts w:ascii="Arial" w:eastAsia="Calibri" w:hAnsi="Arial" w:cs="Arial"/>
          <w:bCs/>
          <w:sz w:val="22"/>
          <w:szCs w:val="22"/>
        </w:rPr>
        <w:t>53</w:t>
      </w:r>
      <w:r w:rsidR="009A7C2E"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</w:t>
      </w:r>
      <w:r w:rsidR="004D1109">
        <w:rPr>
          <w:rFonts w:ascii="Arial" w:eastAsia="Calibri" w:hAnsi="Arial" w:cs="Arial"/>
          <w:bCs/>
          <w:sz w:val="22"/>
          <w:szCs w:val="22"/>
        </w:rPr>
        <w:t xml:space="preserve"> year-over-year.</w:t>
      </w:r>
    </w:p>
    <w:p w14:paraId="42E681BF" w14:textId="77777777" w:rsidR="001B06F1" w:rsidRDefault="001B06F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06D182C9" w14:textId="44A3162B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 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>volume change</w:t>
      </w:r>
      <w:r w:rsidR="00977CF3">
        <w:rPr>
          <w:rFonts w:ascii="Arial" w:hAnsi="Arial" w:cs="Arial"/>
          <w:b/>
          <w:bCs/>
          <w:sz w:val="22"/>
          <w:szCs w:val="22"/>
        </w:rPr>
        <w:t>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B86D94" w14:paraId="1D820F33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4CEAA4BF" w14:textId="537854BC"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421C7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6F3591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F147E" w14:textId="56E65D7F" w:rsidR="00977CF3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977CF3" w:rsidRPr="008148D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="00977CF3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31D20BD8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218DE0CF" w14:textId="361395FA"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F3591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63166" w14:textId="47DAE5CD" w:rsidR="00977CF3" w:rsidRPr="008148D3" w:rsidRDefault="004A0FF5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421C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F3591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977CF3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16A1AEB5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621D259F" w14:textId="2892FBDA"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F3591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941E5" w14:textId="23F69C63" w:rsidR="00977CF3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0421C7">
              <w:rPr>
                <w:rFonts w:ascii="Arial" w:hAnsi="Arial" w:cs="Arial"/>
                <w:bCs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977CF3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0F727F3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53B8184A" w14:textId="7D5DE560"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F3591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8B41C" w14:textId="5A450702" w:rsidR="00977CF3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+ 18</w:t>
            </w:r>
            <w:r w:rsidR="00977CF3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27BE630B" w14:textId="77777777" w:rsidR="00CF4448" w:rsidRPr="00B55D1C" w:rsidRDefault="00CF4448" w:rsidP="00814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4DEA617B" w14:textId="1738619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 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977CF3" w14:paraId="5E218185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2B70791B" w14:textId="510231B6"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6F3591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2DC13" w14:textId="58ED9E54" w:rsidR="00977CF3" w:rsidRPr="00CC09B6" w:rsidRDefault="006F3591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77C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977CF3" w:rsidRPr="00CC09B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2931963C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4672A322" w14:textId="0164FEE6"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F3591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924B2" w14:textId="584A22DD" w:rsidR="00977CF3" w:rsidRPr="00CC09B6" w:rsidRDefault="006F3591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+ 8</w:t>
            </w:r>
            <w:r w:rsidR="00977CF3" w:rsidRPr="00CC09B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0D2F2C91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6E5D3FE7" w14:textId="5A20B9E2"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F3591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98565" w14:textId="582196BA" w:rsidR="00977CF3" w:rsidRPr="00CC09B6" w:rsidRDefault="006F3591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977CF3" w:rsidRPr="00CC09B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289A260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65CD64FB" w14:textId="6FDFD6BF"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7D4C4" w14:textId="235BC900" w:rsidR="00977CF3" w:rsidRPr="00CC09B6" w:rsidRDefault="006F3591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77CF3" w:rsidRPr="00CC09B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304CA4CA" w14:textId="77777777" w:rsidR="00CF4448" w:rsidRPr="00934F7B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396473E0" w14:textId="41696D7C" w:rsidR="00CF4448" w:rsidRPr="00744555" w:rsidRDefault="00CF4448" w:rsidP="003562D1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934F7B">
        <w:rPr>
          <w:rFonts w:ascii="Arial" w:hAnsi="Arial" w:cs="Arial"/>
          <w:b/>
          <w:bCs/>
          <w:sz w:val="22"/>
          <w:szCs w:val="22"/>
        </w:rPr>
        <w:t xml:space="preserve">Intra-Canada: </w:t>
      </w:r>
      <w:r w:rsidRPr="00934F7B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F51C68">
        <w:rPr>
          <w:rFonts w:ascii="Arial" w:hAnsi="Arial" w:cs="Arial"/>
          <w:bCs/>
          <w:sz w:val="22"/>
          <w:szCs w:val="22"/>
        </w:rPr>
        <w:t>3</w:t>
      </w:r>
      <w:r w:rsidR="006F3591">
        <w:rPr>
          <w:rFonts w:ascii="Arial" w:hAnsi="Arial" w:cs="Arial"/>
          <w:bCs/>
          <w:sz w:val="22"/>
          <w:szCs w:val="22"/>
        </w:rPr>
        <w:t>2</w:t>
      </w:r>
      <w:r w:rsidR="00090277" w:rsidRPr="00934F7B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 xml:space="preserve">percent of the data submitted by Loadlink’s Canadian-based </w:t>
      </w:r>
      <w:r w:rsidRPr="00744555">
        <w:rPr>
          <w:rFonts w:ascii="Arial" w:hAnsi="Arial" w:cs="Arial"/>
          <w:bCs/>
          <w:sz w:val="22"/>
          <w:szCs w:val="22"/>
        </w:rPr>
        <w:t>customers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515ED3FD" w14:textId="77777777" w:rsidR="006F3591" w:rsidRDefault="006F359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14:paraId="5828D506" w14:textId="77777777" w:rsidR="006F3591" w:rsidRDefault="006F359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14:paraId="43CAF83F" w14:textId="77777777" w:rsidR="006F3591" w:rsidRDefault="006F359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14:paraId="59E3AB93" w14:textId="77777777" w:rsidR="006F3591" w:rsidRDefault="006F359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14:paraId="6142268A" w14:textId="77777777" w:rsidR="006F3591" w:rsidRDefault="006F359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14:paraId="00C09C98" w14:textId="77777777" w:rsidR="006F3591" w:rsidRDefault="006F359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14:paraId="5DBE3CA1" w14:textId="41CD6C4D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>Loads within Canada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F51C68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744555">
        <w:rPr>
          <w:rFonts w:ascii="Arial" w:hAnsi="Arial" w:cs="Arial"/>
          <w:b/>
          <w:bCs/>
          <w:sz w:val="22"/>
          <w:szCs w:val="22"/>
        </w:rPr>
        <w:t>:</w:t>
      </w:r>
    </w:p>
    <w:p w14:paraId="1986A8BD" w14:textId="77777777"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64"/>
        <w:gridCol w:w="2880"/>
        <w:gridCol w:w="864"/>
      </w:tblGrid>
      <w:tr w:rsidR="00FF5031" w14:paraId="337E6569" w14:textId="77777777" w:rsidTr="008148D3">
        <w:tc>
          <w:tcPr>
            <w:tcW w:w="2880" w:type="dxa"/>
          </w:tcPr>
          <w:p w14:paraId="495FCD6A" w14:textId="1E25379B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Origin</w:t>
            </w:r>
          </w:p>
        </w:tc>
        <w:tc>
          <w:tcPr>
            <w:tcW w:w="864" w:type="dxa"/>
          </w:tcPr>
          <w:p w14:paraId="7B583904" w14:textId="182B5FB6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29042AC" w14:textId="72B76BC1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Destination</w:t>
            </w:r>
          </w:p>
        </w:tc>
        <w:tc>
          <w:tcPr>
            <w:tcW w:w="864" w:type="dxa"/>
          </w:tcPr>
          <w:p w14:paraId="735A6978" w14:textId="5303801D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031" w14:paraId="70DB08EA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13052B43" w14:textId="790302C6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34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97312" w14:textId="38A6ADC4" w:rsidR="00FF5031" w:rsidRPr="008148D3" w:rsidRDefault="00F962F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FF5031" w:rsidRPr="00FF5031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04931" w14:textId="3BBBCD0D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Ontario: 41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4937F" w14:textId="6572A10F" w:rsidR="00FF5031" w:rsidRPr="008148D3" w:rsidRDefault="00F962F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+ 12</w:t>
            </w:r>
            <w:r w:rsidR="00FF5031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60AFD9C0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1DF1FDB5" w14:textId="44D8DA34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 3</w:t>
            </w:r>
            <w:r w:rsidR="00CB0D3A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ED69A" w14:textId="692B7D86" w:rsidR="00FF5031" w:rsidRPr="008148D3" w:rsidRDefault="00F962F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+ 3</w:t>
            </w:r>
            <w:r w:rsidR="00FF5031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BC795" w14:textId="366D6192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Western: 30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47FB7" w14:textId="188E33DD" w:rsidR="00FF5031" w:rsidRPr="008148D3" w:rsidRDefault="00F962F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+ 15</w:t>
            </w:r>
            <w:r w:rsidR="00FF5031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600CE232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5418AB1" w14:textId="79901CBB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2</w:t>
            </w:r>
            <w:r w:rsidR="006F359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29060" w14:textId="29F07338" w:rsidR="00FF5031" w:rsidRPr="008148D3" w:rsidRDefault="00F962F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+ 19</w:t>
            </w:r>
            <w:r w:rsidR="00FF5031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9982E" w14:textId="1B366F00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 2</w:t>
            </w:r>
            <w:r w:rsidR="006F359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FE65E" w14:textId="6E6FEF72" w:rsidR="00FF5031" w:rsidRPr="008148D3" w:rsidRDefault="00F962F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+ 10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549EE6C5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694E888E" w14:textId="400112A1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6F3591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99B1D" w14:textId="06885CE9" w:rsidR="00FF5031" w:rsidRPr="008148D3" w:rsidRDefault="00F962F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+ 31</w:t>
            </w:r>
            <w:r w:rsidR="00FF5031" w:rsidRPr="00FF5031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04DC0" w14:textId="7A5C91C1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6F3591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38AA8" w14:textId="1ECADDA3" w:rsidR="00FF5031" w:rsidRPr="008148D3" w:rsidRDefault="00F51C68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F962FA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FF5031" w:rsidRPr="00FF5031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0251C1C3" w14:textId="2391556B"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14:paraId="751CA1E9" w14:textId="46338E4B" w:rsidR="00DF4795" w:rsidRDefault="00CF4448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 xml:space="preserve">Equipment Breakdown: </w:t>
      </w:r>
      <w:r w:rsidRPr="00744555">
        <w:rPr>
          <w:rFonts w:ascii="Arial" w:hAnsi="Arial" w:cs="Arial"/>
          <w:sz w:val="22"/>
          <w:szCs w:val="22"/>
        </w:rPr>
        <w:t>The top equipment postings</w:t>
      </w:r>
      <w:r w:rsidR="00817A5C" w:rsidRPr="00744555">
        <w:rPr>
          <w:rFonts w:ascii="Arial" w:hAnsi="Arial" w:cs="Arial"/>
          <w:sz w:val="22"/>
          <w:szCs w:val="22"/>
        </w:rPr>
        <w:t xml:space="preserve"> </w:t>
      </w:r>
      <w:r w:rsidR="00504AF4" w:rsidRPr="00744555">
        <w:rPr>
          <w:rFonts w:ascii="Arial" w:hAnsi="Arial" w:cs="Arial"/>
          <w:sz w:val="22"/>
          <w:szCs w:val="22"/>
        </w:rPr>
        <w:t>were</w:t>
      </w:r>
      <w:r w:rsidRPr="007445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 xml:space="preserve">Dry Vans </w:t>
      </w:r>
      <w:r w:rsidR="00933A4A" w:rsidRPr="00744555">
        <w:rPr>
          <w:rFonts w:ascii="Arial" w:hAnsi="Arial" w:cs="Arial"/>
          <w:bCs/>
          <w:sz w:val="22"/>
          <w:szCs w:val="22"/>
        </w:rPr>
        <w:t>5</w:t>
      </w:r>
      <w:r w:rsidR="00F962FA">
        <w:rPr>
          <w:rFonts w:ascii="Arial" w:hAnsi="Arial" w:cs="Arial"/>
          <w:bCs/>
          <w:sz w:val="22"/>
          <w:szCs w:val="22"/>
        </w:rPr>
        <w:t>2</w:t>
      </w:r>
      <w:r w:rsidR="00933A4A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Pr="00744555">
        <w:rPr>
          <w:rFonts w:ascii="Arial" w:hAnsi="Arial" w:cs="Arial"/>
          <w:bCs/>
          <w:sz w:val="22"/>
          <w:szCs w:val="22"/>
        </w:rPr>
        <w:t xml:space="preserve">Reefers </w:t>
      </w:r>
      <w:r w:rsidR="00887F9F" w:rsidRPr="00744555">
        <w:rPr>
          <w:rFonts w:ascii="Arial" w:hAnsi="Arial" w:cs="Arial"/>
          <w:bCs/>
          <w:sz w:val="22"/>
          <w:szCs w:val="22"/>
        </w:rPr>
        <w:t>2</w:t>
      </w:r>
      <w:r w:rsidR="00F962FA">
        <w:rPr>
          <w:rFonts w:ascii="Arial" w:eastAsiaTheme="minorEastAsia" w:hAnsi="Arial" w:cs="Arial"/>
          <w:bCs/>
          <w:sz w:val="22"/>
          <w:szCs w:val="22"/>
          <w:lang w:eastAsia="zh-CN"/>
        </w:rPr>
        <w:t>6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Pr="00744555">
        <w:rPr>
          <w:rFonts w:ascii="Arial" w:hAnsi="Arial" w:cs="Arial"/>
          <w:bCs/>
          <w:sz w:val="22"/>
          <w:szCs w:val="22"/>
        </w:rPr>
        <w:t xml:space="preserve">Flatbed </w:t>
      </w:r>
      <w:r w:rsidR="00F962FA">
        <w:rPr>
          <w:rFonts w:ascii="Arial" w:hAnsi="Arial" w:cs="Arial"/>
          <w:bCs/>
          <w:sz w:val="22"/>
          <w:szCs w:val="22"/>
        </w:rPr>
        <w:t>15</w:t>
      </w:r>
      <w:r w:rsidR="00D161FC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>, and O</w:t>
      </w:r>
      <w:r w:rsidRPr="00744555">
        <w:rPr>
          <w:rFonts w:ascii="Arial" w:hAnsi="Arial" w:cs="Arial"/>
          <w:bCs/>
          <w:sz w:val="22"/>
          <w:szCs w:val="22"/>
        </w:rPr>
        <w:t xml:space="preserve">ther </w:t>
      </w:r>
      <w:r w:rsidR="00F962FA">
        <w:rPr>
          <w:rFonts w:ascii="Arial" w:hAnsi="Arial" w:cs="Arial"/>
          <w:bCs/>
          <w:sz w:val="22"/>
          <w:szCs w:val="22"/>
        </w:rPr>
        <w:t>7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3E195AEB" w14:textId="77777777" w:rsidR="002A5B41" w:rsidRDefault="002A5B41" w:rsidP="008148D3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9CBFD9A" w14:textId="77777777" w:rsidR="00B86D94" w:rsidRDefault="00B86D94" w:rsidP="0085534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28358F63" w14:textId="2AFDC3AC" w:rsidR="00855347" w:rsidRDefault="00855347" w:rsidP="00855347">
      <w:pPr>
        <w:jc w:val="center"/>
      </w:pP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TransCore Canadian Spot Market Freight Index 20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3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9</w:t>
      </w:r>
    </w:p>
    <w:tbl>
      <w:tblPr>
        <w:tblW w:w="7829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942"/>
        <w:gridCol w:w="943"/>
      </w:tblGrid>
      <w:tr w:rsidR="003305C4" w:rsidRPr="00FA3821" w14:paraId="41DE8B53" w14:textId="77777777" w:rsidTr="008148D3">
        <w:trPr>
          <w:trHeight w:val="10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CA86EF" w14:textId="77777777" w:rsidR="003305C4" w:rsidRPr="00057861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809749" w14:textId="77777777" w:rsidR="003305C4" w:rsidRPr="001E767F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38CE33" w14:textId="77777777" w:rsidR="003305C4" w:rsidRPr="001E767F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4B259D" w14:textId="77777777" w:rsidR="003305C4" w:rsidRPr="001E767F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EEBC86" w14:textId="77777777" w:rsidR="003305C4" w:rsidRPr="001E767F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7C32BE8" w14:textId="77777777" w:rsidR="003305C4" w:rsidRPr="001E767F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5784B35" w14:textId="77777777" w:rsidR="003305C4" w:rsidRPr="001E767F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AC56261" w14:textId="0B60CFEF" w:rsidR="003305C4" w:rsidRPr="00C075FB" w:rsidRDefault="003305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EA07A0" w14:textId="09945674" w:rsidR="003305C4" w:rsidRPr="00C075FB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3330A9" w14:textId="77777777" w:rsidR="003305C4" w:rsidRPr="003562D1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3305C4" w:rsidRPr="00744555" w14:paraId="293BAE21" w14:textId="77777777" w:rsidTr="008148D3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D761" w14:textId="77777777" w:rsidR="003305C4" w:rsidRPr="00057861" w:rsidRDefault="003305C4" w:rsidP="0026690D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4D4F" w14:textId="77777777"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BF92" w14:textId="77777777"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FEC8" w14:textId="77777777"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2816" w14:textId="77777777"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276E9" w14:textId="77777777" w:rsidR="003305C4" w:rsidRPr="00744555" w:rsidRDefault="003305C4" w:rsidP="007F14B6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4D9" w14:textId="77777777"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5663" w14:textId="5C24AB4B"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26A4" w14:textId="6448699C"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-43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4B4D" w14:textId="4908747E"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31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</w:tr>
      <w:tr w:rsidR="003305C4" w:rsidRPr="00744555" w14:paraId="403CF37A" w14:textId="77777777" w:rsidTr="000221BB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E3B4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3848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F33A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E672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45F5" w14:textId="77777777" w:rsidR="003305C4" w:rsidRPr="00EA74F9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97BB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B59A" w14:textId="77777777" w:rsidR="003305C4" w:rsidRPr="00744555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468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7E063" w14:textId="278ED87E" w:rsidR="003305C4" w:rsidRPr="000221BB" w:rsidRDefault="000221BB" w:rsidP="002D2B6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221BB">
              <w:rPr>
                <w:rFonts w:asciiTheme="minorHAnsi" w:hAnsiTheme="minorHAns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3CB886" w14:textId="739E0031" w:rsidR="003305C4" w:rsidRPr="00744555" w:rsidRDefault="000221BB" w:rsidP="002D2B6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-35%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FD5E2" w14:textId="1BAF618F" w:rsidR="003305C4" w:rsidRPr="00744555" w:rsidRDefault="000221BB" w:rsidP="002D2B6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4%</w:t>
            </w:r>
          </w:p>
        </w:tc>
      </w:tr>
      <w:tr w:rsidR="003305C4" w:rsidRPr="00744555" w14:paraId="14CC3438" w14:textId="77777777" w:rsidTr="008E792F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67E2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5B00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DDD3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C4C9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AC2" w14:textId="77777777" w:rsidR="003305C4" w:rsidRPr="008B53AD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8B1FD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3BFB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711B" w14:textId="4D5A11C5" w:rsidR="003305C4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FCCD" w14:textId="028DC1BF"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1E9E" w14:textId="10635B96"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-7%</w:t>
            </w:r>
          </w:p>
        </w:tc>
      </w:tr>
      <w:tr w:rsidR="003305C4" w:rsidRPr="00744555" w14:paraId="6528C663" w14:textId="77777777" w:rsidTr="008E792F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113F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9B7D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D0C5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DE8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778D" w14:textId="77777777" w:rsidR="003305C4" w:rsidRPr="00941A92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E3C21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AB02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80F7" w14:textId="48DCC4B9" w:rsidR="003305C4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5095" w14:textId="4DB5919F"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2A7C" w14:textId="24E9AC21"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-17%</w:t>
            </w:r>
          </w:p>
        </w:tc>
      </w:tr>
      <w:tr w:rsidR="003305C4" w:rsidRPr="00744555" w14:paraId="24AAF738" w14:textId="77777777" w:rsidTr="00F962FA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C105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F23A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7FE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6D4E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2ABE" w14:textId="77777777" w:rsidR="003305C4" w:rsidRPr="00701653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F99F6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2B2A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50ED9" w14:textId="1775881D" w:rsidR="003305C4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6EB7F5" w14:textId="3BF31127" w:rsidR="003305C4" w:rsidRPr="00744555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-35%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9419B5" w14:textId="1F6B7B79" w:rsidR="003305C4" w:rsidRPr="00744555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12%</w:t>
            </w:r>
          </w:p>
        </w:tc>
      </w:tr>
      <w:tr w:rsidR="003305C4" w:rsidRPr="00744555" w14:paraId="55069C55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D73D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854E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E5AB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8CEA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C4E5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E87DE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2119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28130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F58091" w14:textId="4AE5112C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521543" w14:textId="50D0AA36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094B4FF1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3F6B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944D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4004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9E9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B99D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87F0" w14:textId="77777777" w:rsidR="003305C4" w:rsidRPr="00DA6A4A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DC1A" w14:textId="77777777" w:rsidR="003305C4" w:rsidRPr="000A6FC2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312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BBF6B" w14:textId="77777777"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93AA16" w14:textId="701EC2AA" w:rsidR="003305C4" w:rsidRPr="000A6FC2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F0E342" w14:textId="671EE6EC" w:rsidR="003305C4" w:rsidRPr="000A6FC2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14:paraId="0999657D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98C9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F515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0FE6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2A1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B892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87B6" w14:textId="77777777" w:rsidR="003305C4" w:rsidRPr="00FD3691" w:rsidRDefault="003305C4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46AE" w14:textId="760DD335" w:rsidR="003305C4" w:rsidRPr="00653854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75A6" w14:textId="77777777"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BD5AD2" w14:textId="278DCC9E" w:rsidR="003305C4" w:rsidRPr="0065385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5233C8" w14:textId="05EF9DEC" w:rsidR="003305C4" w:rsidRPr="0065385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14:paraId="7BC07C5B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1A1D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5387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136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E49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0E5C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6EC984" w14:textId="77777777" w:rsidR="003305C4" w:rsidRPr="00C00BFC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D4F3" w14:textId="299228A1" w:rsidR="003305C4" w:rsidRPr="002A2F15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32236" w14:textId="77777777"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373BD5" w14:textId="548A1603" w:rsidR="003305C4" w:rsidRPr="002A2F15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FF0DC8" w14:textId="507B6288" w:rsidR="003305C4" w:rsidRPr="002A2F15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14:paraId="02EF0F37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B2EF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E420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59D7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27B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43FD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40971" w14:textId="77777777" w:rsidR="003305C4" w:rsidRPr="007E6CC9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074C" w14:textId="29614442" w:rsidR="003305C4" w:rsidRPr="000208BB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DCD05" w14:textId="77777777"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23C0E2" w14:textId="287FD566" w:rsidR="003305C4" w:rsidRPr="000208BB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AB6284" w14:textId="4B2A634D" w:rsidR="003305C4" w:rsidRPr="000208BB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14:paraId="6E773D83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705F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A95B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E26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2552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9DB1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98682" w14:textId="77777777" w:rsidR="003305C4" w:rsidRPr="005653B4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290E" w14:textId="52971384" w:rsidR="003305C4" w:rsidRPr="00E46516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A8FF3" w14:textId="77777777"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D5D36E" w14:textId="3430521F" w:rsidR="003305C4" w:rsidRPr="00E46516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1CF888" w14:textId="3CCB3E3D" w:rsidR="003305C4" w:rsidRPr="00E46516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14:paraId="2F729A57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CF0F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391B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84FE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E95A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FCCE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9663D" w14:textId="77777777" w:rsidR="003305C4" w:rsidRPr="00705164" w:rsidRDefault="003305C4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38A8" w14:textId="300A8A81" w:rsidR="003305C4" w:rsidRPr="00705164" w:rsidRDefault="003305C4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80D45" w14:textId="77777777" w:rsidR="003305C4" w:rsidRPr="00C075FB" w:rsidRDefault="003305C4" w:rsidP="002D2B6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DE60AB" w14:textId="5C1F6EDE" w:rsidR="003305C4" w:rsidRPr="00C075FB" w:rsidRDefault="003305C4" w:rsidP="002D2B6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2F5F95" w14:textId="3CED2A24" w:rsidR="003305C4" w:rsidRPr="00C075FB" w:rsidRDefault="003305C4" w:rsidP="002D2B6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14:paraId="7315C880" w14:textId="77777777" w:rsidR="00CF4448" w:rsidRDefault="00CF4448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5B9BE21" w14:textId="77777777" w:rsidR="00B81458" w:rsidRDefault="00B81458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25837F0" w14:textId="5B219A92" w:rsidR="00B22511" w:rsidRDefault="00F962FA" w:rsidP="00465EDF">
      <w:pPr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 wp14:anchorId="47AE5EB6" wp14:editId="313F0EA5">
            <wp:extent cx="5206365" cy="3980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3CC94" w14:textId="77777777" w:rsidR="00917005" w:rsidRDefault="00B22511" w:rsidP="00B22511">
      <w:pPr>
        <w:jc w:val="center"/>
      </w:pPr>
      <w:r>
        <w:br w:type="page"/>
      </w:r>
    </w:p>
    <w:p w14:paraId="5D66B47F" w14:textId="3C86C4C5" w:rsidR="00B22511" w:rsidRDefault="00B22511" w:rsidP="00B22511">
      <w:pPr>
        <w:jc w:val="center"/>
      </w:pP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 xml:space="preserve">TransCore Canadian Spot Market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20</w:t>
      </w:r>
      <w:r w:rsidR="007D137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3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9</w:t>
      </w:r>
    </w:p>
    <w:tbl>
      <w:tblPr>
        <w:tblW w:w="8190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7"/>
        <w:gridCol w:w="1111"/>
        <w:gridCol w:w="943"/>
      </w:tblGrid>
      <w:tr w:rsidR="003305C4" w:rsidRPr="00FA3821" w14:paraId="1F0C83E9" w14:textId="77777777" w:rsidTr="008148D3">
        <w:trPr>
          <w:trHeight w:val="10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2762D3" w14:textId="77777777" w:rsidR="003305C4" w:rsidRPr="00057861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BF5011" w14:textId="4DE879AE" w:rsidR="003305C4" w:rsidRPr="001E767F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6F878C" w14:textId="513A558B" w:rsidR="003305C4" w:rsidRPr="001E767F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AFEADC" w14:textId="39F6B98F" w:rsidR="003305C4" w:rsidRPr="001E767F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D1F46D" w14:textId="3DD3FECA" w:rsidR="003305C4" w:rsidRPr="001E767F" w:rsidRDefault="003305C4" w:rsidP="001E767F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D9AF933" w14:textId="6D1ED23C" w:rsidR="003305C4" w:rsidRPr="001E767F" w:rsidRDefault="003305C4" w:rsidP="001E767F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D570041" w14:textId="4FB373ED" w:rsidR="003305C4" w:rsidRPr="001E767F" w:rsidRDefault="003305C4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9629A95" w14:textId="1E8A97E8" w:rsidR="003305C4" w:rsidRPr="009164FC" w:rsidRDefault="003305C4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B19894" w14:textId="1680E1C9" w:rsidR="003305C4" w:rsidRDefault="003305C4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14:paraId="41372CDF" w14:textId="77777777" w:rsidR="003305C4" w:rsidRPr="009164FC" w:rsidRDefault="003305C4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C14F4F" w14:textId="77777777" w:rsidR="003305C4" w:rsidRPr="00E46DE6" w:rsidRDefault="003305C4" w:rsidP="001E767F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3305C4" w:rsidRPr="003562D1" w14:paraId="33C8B6A4" w14:textId="77777777" w:rsidTr="008148D3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3F03" w14:textId="77777777" w:rsidR="003305C4" w:rsidRPr="00057861" w:rsidRDefault="003305C4" w:rsidP="001E767F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BEC9" w14:textId="1ECB8F00" w:rsidR="003305C4" w:rsidRPr="00057861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5D7F8" w14:textId="7A46D5E2" w:rsidR="003305C4" w:rsidRPr="00057861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B32B7" w14:textId="27A6BF60" w:rsidR="003305C4" w:rsidRPr="00057861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5665A" w14:textId="3A463F49" w:rsidR="003305C4" w:rsidRPr="00744555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47CA9" w14:textId="197F52EF" w:rsidR="003305C4" w:rsidRPr="00744555" w:rsidRDefault="003305C4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3E0" w14:textId="61F15038" w:rsidR="003305C4" w:rsidRPr="00744555" w:rsidRDefault="003305C4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269" w14:textId="7E0CE361" w:rsidR="003305C4" w:rsidRPr="00744555" w:rsidRDefault="003305C4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B21A" w14:textId="19379BF3" w:rsidR="003305C4" w:rsidRPr="00744555" w:rsidRDefault="003305C4" w:rsidP="00B63B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72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575" w14:textId="05667FB7" w:rsidR="003305C4" w:rsidRPr="00744555" w:rsidRDefault="003305C4" w:rsidP="00B63B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3305C4" w:rsidRPr="00FA3821" w14:paraId="0EDBC108" w14:textId="77777777" w:rsidTr="000221BB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82F4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453E" w14:textId="4A38E9B9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25C8" w14:textId="23431426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1D5B" w14:textId="520CC8F5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12A3" w14:textId="6E982199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C43E" w14:textId="11127452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4DE0" w14:textId="281B3713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410FE" w14:textId="05CFFEF5" w:rsidR="003305C4" w:rsidRPr="00744555" w:rsidRDefault="000221BB" w:rsidP="002D2B64">
            <w:pPr>
              <w:jc w:val="righ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149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294B91" w14:textId="0C225279" w:rsidR="003305C4" w:rsidRPr="00744555" w:rsidRDefault="00302147" w:rsidP="002D2B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</w:t>
            </w:r>
            <w:r w:rsidR="000221BB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44AE33" w14:textId="4C8FD07E" w:rsidR="003305C4" w:rsidRPr="00744555" w:rsidRDefault="000221BB" w:rsidP="002D2B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-12%</w:t>
            </w:r>
          </w:p>
        </w:tc>
      </w:tr>
      <w:tr w:rsidR="003305C4" w:rsidRPr="00FA3821" w14:paraId="67463DC2" w14:textId="77777777" w:rsidTr="008E792F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15F7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C23B5" w14:textId="18A3FBD8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8ECE" w14:textId="5C4FF11D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2338" w14:textId="5076E982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DF86" w14:textId="0F5897AB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231F" w14:textId="43CD87E0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3773" w14:textId="511D4DA4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5281" w14:textId="2DEDBDA9" w:rsidR="003305C4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12CB" w14:textId="5C3E99B7"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72%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AB53" w14:textId="3AB2CFFA"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21%</w:t>
            </w:r>
          </w:p>
        </w:tc>
      </w:tr>
      <w:tr w:rsidR="003305C4" w:rsidRPr="00FA3821" w14:paraId="27AE2EE3" w14:textId="77777777" w:rsidTr="008E792F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2B93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F000" w14:textId="61B4B1C5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FA68" w14:textId="726B8954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296B" w14:textId="2D3522AB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CC34" w14:textId="40C32647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ADB08" w14:textId="35D5B3C6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8A37" w14:textId="2A29C759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E552" w14:textId="183A1108" w:rsidR="003305C4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1E53" w14:textId="5FDCD901"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0E6D" w14:textId="4F84A49A"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13%</w:t>
            </w:r>
          </w:p>
        </w:tc>
      </w:tr>
      <w:tr w:rsidR="003305C4" w:rsidRPr="009439D8" w14:paraId="48E713F7" w14:textId="77777777" w:rsidTr="00F962FA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7249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C9C1" w14:textId="2F33F6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D525" w14:textId="79A79C90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B2BA" w14:textId="3C48FDE9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4B95" w14:textId="0F164F4C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6DF1" w14:textId="4A0E48C6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9617" w14:textId="076DF195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FE1EE" w14:textId="13EA3DAF" w:rsidR="003305C4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37942C" w14:textId="3986956C" w:rsidR="003305C4" w:rsidRPr="00744555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52%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3C2F15" w14:textId="746D3A48" w:rsidR="003305C4" w:rsidRPr="00744555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5%</w:t>
            </w:r>
          </w:p>
        </w:tc>
      </w:tr>
      <w:tr w:rsidR="003305C4" w:rsidRPr="00FA3821" w14:paraId="25ED109E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D4AD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9BFF" w14:textId="3F901A9A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7E0B" w14:textId="7B247190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683A" w14:textId="7D8FC3D5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5934" w14:textId="5C55B2A1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6FB73" w14:textId="07FD892E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69A1" w14:textId="1C11B102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9284B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D63343" w14:textId="7FDC2651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7948DC" w14:textId="3BB6EDE2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4138574D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3812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0241" w14:textId="774DDFFD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4371" w14:textId="16BCDBBB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1900" w14:textId="3168E06A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CB66" w14:textId="0EF9CD3A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0DCF3" w14:textId="3FDB39CD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2866" w14:textId="459F347E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1A170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9FADE5" w14:textId="73D0C5B3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DEDFB1" w14:textId="2B3D52A0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12B3BACC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022F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CB45" w14:textId="0352173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CEC9" w14:textId="6A42D4F5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E21D" w14:textId="4970E9CB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5E5C" w14:textId="4509F40A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BB196" w14:textId="2C29497D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89E1" w14:textId="6447AFC2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8A5E4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AE5407" w14:textId="6A977B7F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DA81D7" w14:textId="506999E4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652A1D82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E59A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E934" w14:textId="276C480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3772" w14:textId="1A3C9103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FC29" w14:textId="6441C8D1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9261" w14:textId="0D3B65F5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52C8" w14:textId="6D046CB2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7755" w14:textId="6FCD3E7B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73CD4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2BC5F5" w14:textId="7E41A919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5605D2" w14:textId="38012C27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3A979280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E45D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340A" w14:textId="6CF64241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2B0A" w14:textId="6A6B974C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FC72" w14:textId="34D743F4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264C7" w14:textId="393DB25D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0E517" w14:textId="38BEBC3D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4FB7" w14:textId="7D755367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ECE0B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2BE757" w14:textId="2007A89D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56AF81" w14:textId="60DC5DB5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0AD9D162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F989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4460" w14:textId="4FE29A04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DC30" w14:textId="57ACCB4C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D197" w14:textId="6C0E3C38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5184" w14:textId="3A8ECFBF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60F9D" w14:textId="7B777A15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F200" w14:textId="040F1B17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007B9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0D9622" w14:textId="0103DE52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456FAC" w14:textId="0C74A30B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02A252F0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26368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6E85E" w14:textId="297FD523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404E" w14:textId="002EF669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C860" w14:textId="0608CE9B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BF520" w14:textId="3A323588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795D4" w14:textId="2F7D90D5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D19D" w14:textId="04E71BDE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0714B" w14:textId="77777777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254794" w14:textId="719F99C3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37E6E9" w14:textId="12DABF19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28546FF2" w14:textId="77777777" w:rsidR="00B22511" w:rsidRDefault="00B22511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A575794" w14:textId="45FFA155" w:rsidR="00B22511" w:rsidRDefault="00B22511" w:rsidP="00653854">
      <w:pPr>
        <w:tabs>
          <w:tab w:val="left" w:pos="3870"/>
        </w:tabs>
        <w:jc w:val="center"/>
      </w:pPr>
    </w:p>
    <w:p w14:paraId="13C7B03F" w14:textId="7B0D84E1" w:rsidR="00090277" w:rsidRDefault="00F962FA" w:rsidP="00653854">
      <w:pPr>
        <w:tabs>
          <w:tab w:val="left" w:pos="3870"/>
        </w:tabs>
        <w:jc w:val="center"/>
      </w:pPr>
      <w:r>
        <w:rPr>
          <w:noProof/>
          <w:lang w:val="en-CA" w:eastAsia="en-CA"/>
        </w:rPr>
        <w:drawing>
          <wp:inline distT="0" distB="0" distL="0" distR="0" wp14:anchorId="1CCE3359" wp14:editId="0E1FF52D">
            <wp:extent cx="5114925" cy="417639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17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0277" w:rsidSect="00B22511">
      <w:headerReference w:type="default" r:id="rId10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CFF53" w14:textId="77777777" w:rsidR="00C53685" w:rsidRDefault="00C53685" w:rsidP="00632632">
      <w:r>
        <w:separator/>
      </w:r>
    </w:p>
  </w:endnote>
  <w:endnote w:type="continuationSeparator" w:id="0">
    <w:p w14:paraId="12442AC5" w14:textId="77777777" w:rsidR="00C53685" w:rsidRDefault="00C53685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D4844" w14:textId="77777777" w:rsidR="00C53685" w:rsidRDefault="00C53685" w:rsidP="00632632">
      <w:r>
        <w:separator/>
      </w:r>
    </w:p>
  </w:footnote>
  <w:footnote w:type="continuationSeparator" w:id="0">
    <w:p w14:paraId="2D668699" w14:textId="77777777" w:rsidR="00C53685" w:rsidRDefault="00C53685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43972" w14:textId="77777777" w:rsidR="00B86D94" w:rsidRDefault="00B86D94" w:rsidP="00B22511">
    <w:pP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  <w:r w:rsidRPr="005E44D6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D8DFAD3" wp14:editId="0ADC3417">
          <wp:simplePos x="0" y="0"/>
          <wp:positionH relativeFrom="column">
            <wp:posOffset>4549140</wp:posOffset>
          </wp:positionH>
          <wp:positionV relativeFrom="paragraph">
            <wp:posOffset>94615</wp:posOffset>
          </wp:positionV>
          <wp:extent cx="1783080" cy="703580"/>
          <wp:effectExtent l="0" t="0" r="7620" b="1270"/>
          <wp:wrapSquare wrapText="bothSides"/>
          <wp:docPr id="6" name="Picture 1" descr="TranCore Link Logistics Logo(CMYK)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Core Link Logistics Logo(CMYK)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ACB6D6" w14:textId="77777777" w:rsidR="00B86D94" w:rsidRDefault="00B86D94" w:rsidP="00B22511">
    <w:pPr>
      <w:ind w:left="-450" w:right="234"/>
      <w:rPr>
        <w:rFonts w:ascii="Arial" w:hAnsi="Arial" w:cs="Arial"/>
        <w:b/>
        <w:color w:val="1F497D" w:themeColor="text2"/>
        <w:sz w:val="28"/>
        <w:szCs w:val="22"/>
      </w:rPr>
    </w:pPr>
  </w:p>
  <w:p w14:paraId="47EF0349" w14:textId="2A78D4AD" w:rsidR="00B86D94" w:rsidRDefault="00B86D94" w:rsidP="00A745D8">
    <w:pPr>
      <w:ind w:left="-450" w:right="234"/>
      <w:rPr>
        <w:rFonts w:ascii="Arial" w:hAnsi="Arial" w:cs="Arial"/>
        <w:b/>
        <w:color w:val="1F497D" w:themeColor="text2"/>
        <w:sz w:val="28"/>
        <w:szCs w:val="22"/>
      </w:rPr>
    </w:pPr>
    <w:r w:rsidRPr="00980284">
      <w:rPr>
        <w:rFonts w:ascii="Arial" w:hAnsi="Arial" w:cs="Arial"/>
        <w:b/>
        <w:color w:val="1F497D" w:themeColor="text2"/>
        <w:sz w:val="28"/>
        <w:szCs w:val="22"/>
      </w:rPr>
      <w:t>TransCore’s Canadian Freight Index –</w:t>
    </w:r>
    <w:r>
      <w:rPr>
        <w:rFonts w:ascii="Arial" w:hAnsi="Arial" w:cs="Arial"/>
        <w:b/>
        <w:color w:val="1F497D" w:themeColor="text2"/>
        <w:sz w:val="28"/>
        <w:szCs w:val="22"/>
      </w:rPr>
      <w:t xml:space="preserve"> </w:t>
    </w:r>
    <w:r w:rsidR="00A94B52">
      <w:rPr>
        <w:rFonts w:ascii="Arial" w:hAnsi="Arial" w:cs="Arial"/>
        <w:b/>
        <w:color w:val="1F497D" w:themeColor="text2"/>
        <w:sz w:val="28"/>
        <w:szCs w:val="22"/>
      </w:rPr>
      <w:t>May</w:t>
    </w:r>
    <w:r w:rsidR="00A94B52">
      <w:rPr>
        <w:rFonts w:ascii="Arial" w:hAnsi="Arial" w:cs="Arial"/>
        <w:b/>
        <w:color w:val="1F497D" w:themeColor="text2"/>
        <w:sz w:val="28"/>
        <w:szCs w:val="22"/>
      </w:rPr>
      <w:t xml:space="preserve"> </w:t>
    </w:r>
    <w:r>
      <w:rPr>
        <w:rFonts w:ascii="Arial" w:hAnsi="Arial" w:cs="Arial"/>
        <w:b/>
        <w:color w:val="1F497D" w:themeColor="text2"/>
        <w:sz w:val="28"/>
        <w:szCs w:val="22"/>
      </w:rPr>
      <w:t>2019</w:t>
    </w:r>
  </w:p>
  <w:p w14:paraId="375DF5AA" w14:textId="77777777" w:rsidR="00B86D94" w:rsidRPr="00980284" w:rsidRDefault="00B86D94" w:rsidP="00B22511">
    <w:pPr>
      <w:pBdr>
        <w:bottom w:val="single" w:sz="12" w:space="1" w:color="1F497D" w:themeColor="text2"/>
      </w:pBd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</w:p>
  <w:p w14:paraId="2AA6550C" w14:textId="77777777" w:rsidR="00B86D94" w:rsidRDefault="00B86D94" w:rsidP="00B22511">
    <w:pPr>
      <w:pStyle w:val="BalloonText"/>
      <w:jc w:val="right"/>
    </w:pPr>
  </w:p>
  <w:p w14:paraId="4A19827A" w14:textId="77777777" w:rsidR="00B86D94" w:rsidRDefault="00B86D94" w:rsidP="00B22511">
    <w:pPr>
      <w:pStyle w:val="Balloon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714"/>
    <w:multiLevelType w:val="hybridMultilevel"/>
    <w:tmpl w:val="70DADCE8"/>
    <w:lvl w:ilvl="0" w:tplc="50C871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F18"/>
    <w:multiLevelType w:val="hybridMultilevel"/>
    <w:tmpl w:val="70E44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266B"/>
    <w:multiLevelType w:val="hybridMultilevel"/>
    <w:tmpl w:val="CD78F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8"/>
    <w:rsid w:val="000037BE"/>
    <w:rsid w:val="00005E35"/>
    <w:rsid w:val="000127D7"/>
    <w:rsid w:val="000171B3"/>
    <w:rsid w:val="000208BB"/>
    <w:rsid w:val="000221BB"/>
    <w:rsid w:val="00027482"/>
    <w:rsid w:val="0003208C"/>
    <w:rsid w:val="00034DBF"/>
    <w:rsid w:val="00037118"/>
    <w:rsid w:val="000421C7"/>
    <w:rsid w:val="0004371B"/>
    <w:rsid w:val="0004598D"/>
    <w:rsid w:val="00053DE0"/>
    <w:rsid w:val="00073E7F"/>
    <w:rsid w:val="00073F2B"/>
    <w:rsid w:val="00076276"/>
    <w:rsid w:val="00090277"/>
    <w:rsid w:val="00090C9C"/>
    <w:rsid w:val="0009158B"/>
    <w:rsid w:val="000A1DEB"/>
    <w:rsid w:val="000A389A"/>
    <w:rsid w:val="000A63D6"/>
    <w:rsid w:val="000A6A0C"/>
    <w:rsid w:val="000A6FC2"/>
    <w:rsid w:val="000B7E97"/>
    <w:rsid w:val="000C0137"/>
    <w:rsid w:val="000C0541"/>
    <w:rsid w:val="000D085A"/>
    <w:rsid w:val="000D395F"/>
    <w:rsid w:val="000D5CF2"/>
    <w:rsid w:val="001044F5"/>
    <w:rsid w:val="00111908"/>
    <w:rsid w:val="00112898"/>
    <w:rsid w:val="00117A11"/>
    <w:rsid w:val="00120980"/>
    <w:rsid w:val="00122075"/>
    <w:rsid w:val="00124820"/>
    <w:rsid w:val="00125488"/>
    <w:rsid w:val="00127C95"/>
    <w:rsid w:val="001555F7"/>
    <w:rsid w:val="00157165"/>
    <w:rsid w:val="00162E92"/>
    <w:rsid w:val="00165184"/>
    <w:rsid w:val="00167F50"/>
    <w:rsid w:val="001766FE"/>
    <w:rsid w:val="00183216"/>
    <w:rsid w:val="0018408C"/>
    <w:rsid w:val="001933FF"/>
    <w:rsid w:val="0019385D"/>
    <w:rsid w:val="001948C9"/>
    <w:rsid w:val="00196EE4"/>
    <w:rsid w:val="001A077B"/>
    <w:rsid w:val="001A0D23"/>
    <w:rsid w:val="001A1025"/>
    <w:rsid w:val="001A5820"/>
    <w:rsid w:val="001A6E57"/>
    <w:rsid w:val="001A7C84"/>
    <w:rsid w:val="001B06F1"/>
    <w:rsid w:val="001B22CB"/>
    <w:rsid w:val="001B303D"/>
    <w:rsid w:val="001C4F33"/>
    <w:rsid w:val="001C5948"/>
    <w:rsid w:val="001D713A"/>
    <w:rsid w:val="001E1347"/>
    <w:rsid w:val="001E429A"/>
    <w:rsid w:val="001E4E0B"/>
    <w:rsid w:val="001E767F"/>
    <w:rsid w:val="00203D8B"/>
    <w:rsid w:val="00205EC1"/>
    <w:rsid w:val="002078ED"/>
    <w:rsid w:val="00217E8A"/>
    <w:rsid w:val="00223F7B"/>
    <w:rsid w:val="00224CFC"/>
    <w:rsid w:val="0022589E"/>
    <w:rsid w:val="0023060B"/>
    <w:rsid w:val="002332E1"/>
    <w:rsid w:val="00233F17"/>
    <w:rsid w:val="00235883"/>
    <w:rsid w:val="0024151C"/>
    <w:rsid w:val="002437D3"/>
    <w:rsid w:val="00251572"/>
    <w:rsid w:val="002573D2"/>
    <w:rsid w:val="0026277C"/>
    <w:rsid w:val="002633BB"/>
    <w:rsid w:val="00265702"/>
    <w:rsid w:val="0026690D"/>
    <w:rsid w:val="0027006A"/>
    <w:rsid w:val="002707AD"/>
    <w:rsid w:val="0027466B"/>
    <w:rsid w:val="00276E96"/>
    <w:rsid w:val="0027774F"/>
    <w:rsid w:val="002828FB"/>
    <w:rsid w:val="00292CCC"/>
    <w:rsid w:val="00295C6F"/>
    <w:rsid w:val="002A2F15"/>
    <w:rsid w:val="002A537D"/>
    <w:rsid w:val="002A5B41"/>
    <w:rsid w:val="002A79A1"/>
    <w:rsid w:val="002B1B51"/>
    <w:rsid w:val="002B37CF"/>
    <w:rsid w:val="002B495F"/>
    <w:rsid w:val="002C4BCC"/>
    <w:rsid w:val="002C538D"/>
    <w:rsid w:val="002D2B64"/>
    <w:rsid w:val="002D34DC"/>
    <w:rsid w:val="002D430B"/>
    <w:rsid w:val="002D4942"/>
    <w:rsid w:val="002D6B20"/>
    <w:rsid w:val="002E0442"/>
    <w:rsid w:val="002E109A"/>
    <w:rsid w:val="002E591B"/>
    <w:rsid w:val="002E5E32"/>
    <w:rsid w:val="002F1B11"/>
    <w:rsid w:val="002F2715"/>
    <w:rsid w:val="002F37F6"/>
    <w:rsid w:val="002F3D0F"/>
    <w:rsid w:val="00301096"/>
    <w:rsid w:val="00302147"/>
    <w:rsid w:val="00304C97"/>
    <w:rsid w:val="00310380"/>
    <w:rsid w:val="00313256"/>
    <w:rsid w:val="003211DF"/>
    <w:rsid w:val="00323E00"/>
    <w:rsid w:val="003305C4"/>
    <w:rsid w:val="00331D74"/>
    <w:rsid w:val="00345770"/>
    <w:rsid w:val="00353315"/>
    <w:rsid w:val="003562D1"/>
    <w:rsid w:val="00362321"/>
    <w:rsid w:val="00367D0F"/>
    <w:rsid w:val="00370B1D"/>
    <w:rsid w:val="003710BB"/>
    <w:rsid w:val="00372709"/>
    <w:rsid w:val="00373A47"/>
    <w:rsid w:val="0037415F"/>
    <w:rsid w:val="003832FE"/>
    <w:rsid w:val="0039138F"/>
    <w:rsid w:val="003920E2"/>
    <w:rsid w:val="003A5A18"/>
    <w:rsid w:val="003A7C2A"/>
    <w:rsid w:val="003A7C60"/>
    <w:rsid w:val="003B3EE0"/>
    <w:rsid w:val="003B4374"/>
    <w:rsid w:val="003C19AE"/>
    <w:rsid w:val="003C2594"/>
    <w:rsid w:val="003C3B3F"/>
    <w:rsid w:val="003C4D73"/>
    <w:rsid w:val="003D0FA2"/>
    <w:rsid w:val="003E1CD6"/>
    <w:rsid w:val="003E3F7E"/>
    <w:rsid w:val="003E5215"/>
    <w:rsid w:val="003F3219"/>
    <w:rsid w:val="003F3D40"/>
    <w:rsid w:val="003F714E"/>
    <w:rsid w:val="00400A05"/>
    <w:rsid w:val="00404F6C"/>
    <w:rsid w:val="00412B07"/>
    <w:rsid w:val="004140AE"/>
    <w:rsid w:val="00414726"/>
    <w:rsid w:val="00414965"/>
    <w:rsid w:val="004162A0"/>
    <w:rsid w:val="004165D0"/>
    <w:rsid w:val="00416CA2"/>
    <w:rsid w:val="004172A3"/>
    <w:rsid w:val="00420196"/>
    <w:rsid w:val="004204BC"/>
    <w:rsid w:val="00421E8F"/>
    <w:rsid w:val="00424A30"/>
    <w:rsid w:val="00424B65"/>
    <w:rsid w:val="004256B3"/>
    <w:rsid w:val="00427463"/>
    <w:rsid w:val="004300F7"/>
    <w:rsid w:val="0043457B"/>
    <w:rsid w:val="00442A03"/>
    <w:rsid w:val="00444FC6"/>
    <w:rsid w:val="00451236"/>
    <w:rsid w:val="004544D5"/>
    <w:rsid w:val="00460931"/>
    <w:rsid w:val="00462421"/>
    <w:rsid w:val="00464C6D"/>
    <w:rsid w:val="00464F87"/>
    <w:rsid w:val="00465EDF"/>
    <w:rsid w:val="0047083C"/>
    <w:rsid w:val="00480558"/>
    <w:rsid w:val="0048606E"/>
    <w:rsid w:val="00486B78"/>
    <w:rsid w:val="0048767C"/>
    <w:rsid w:val="00491F73"/>
    <w:rsid w:val="00497D81"/>
    <w:rsid w:val="004A0343"/>
    <w:rsid w:val="004A0FF5"/>
    <w:rsid w:val="004A3B9A"/>
    <w:rsid w:val="004A74C7"/>
    <w:rsid w:val="004B1104"/>
    <w:rsid w:val="004B3950"/>
    <w:rsid w:val="004B3D70"/>
    <w:rsid w:val="004B5B7B"/>
    <w:rsid w:val="004B66C4"/>
    <w:rsid w:val="004B7C1D"/>
    <w:rsid w:val="004C1A31"/>
    <w:rsid w:val="004D0398"/>
    <w:rsid w:val="004D1109"/>
    <w:rsid w:val="004E21E5"/>
    <w:rsid w:val="004E2DE4"/>
    <w:rsid w:val="005019B6"/>
    <w:rsid w:val="00503940"/>
    <w:rsid w:val="00504AF4"/>
    <w:rsid w:val="00510CD4"/>
    <w:rsid w:val="00511D8B"/>
    <w:rsid w:val="00513489"/>
    <w:rsid w:val="005147E3"/>
    <w:rsid w:val="0051626C"/>
    <w:rsid w:val="00516BEE"/>
    <w:rsid w:val="005179A3"/>
    <w:rsid w:val="00520B21"/>
    <w:rsid w:val="0052445B"/>
    <w:rsid w:val="00533A35"/>
    <w:rsid w:val="00553FA0"/>
    <w:rsid w:val="00554924"/>
    <w:rsid w:val="005553D7"/>
    <w:rsid w:val="00557CA8"/>
    <w:rsid w:val="005653B4"/>
    <w:rsid w:val="00570D4E"/>
    <w:rsid w:val="00572575"/>
    <w:rsid w:val="005748B9"/>
    <w:rsid w:val="00593D07"/>
    <w:rsid w:val="005A35B4"/>
    <w:rsid w:val="005A4702"/>
    <w:rsid w:val="005B2449"/>
    <w:rsid w:val="005B5E0D"/>
    <w:rsid w:val="005C1F19"/>
    <w:rsid w:val="005C20E9"/>
    <w:rsid w:val="005E0AD8"/>
    <w:rsid w:val="005E38D9"/>
    <w:rsid w:val="005E590B"/>
    <w:rsid w:val="005E60BD"/>
    <w:rsid w:val="005E7B15"/>
    <w:rsid w:val="005F60EE"/>
    <w:rsid w:val="00601969"/>
    <w:rsid w:val="00605A53"/>
    <w:rsid w:val="00607617"/>
    <w:rsid w:val="00623658"/>
    <w:rsid w:val="00626C33"/>
    <w:rsid w:val="00631DA3"/>
    <w:rsid w:val="00632632"/>
    <w:rsid w:val="006333F6"/>
    <w:rsid w:val="00633F78"/>
    <w:rsid w:val="00635F29"/>
    <w:rsid w:val="00653854"/>
    <w:rsid w:val="0065569D"/>
    <w:rsid w:val="00655A73"/>
    <w:rsid w:val="0066380E"/>
    <w:rsid w:val="00663EE3"/>
    <w:rsid w:val="006649C7"/>
    <w:rsid w:val="00665886"/>
    <w:rsid w:val="00670082"/>
    <w:rsid w:val="00674B76"/>
    <w:rsid w:val="00674DCE"/>
    <w:rsid w:val="00683C18"/>
    <w:rsid w:val="0068781D"/>
    <w:rsid w:val="006900D4"/>
    <w:rsid w:val="00690172"/>
    <w:rsid w:val="006936CF"/>
    <w:rsid w:val="00694F3C"/>
    <w:rsid w:val="00696F25"/>
    <w:rsid w:val="006A733A"/>
    <w:rsid w:val="006A787A"/>
    <w:rsid w:val="006A7B4B"/>
    <w:rsid w:val="006C5536"/>
    <w:rsid w:val="006D0BCC"/>
    <w:rsid w:val="006D4956"/>
    <w:rsid w:val="006D5EAE"/>
    <w:rsid w:val="006D77BD"/>
    <w:rsid w:val="006E0CD2"/>
    <w:rsid w:val="006E130C"/>
    <w:rsid w:val="006E6809"/>
    <w:rsid w:val="006E7AC5"/>
    <w:rsid w:val="006F06EE"/>
    <w:rsid w:val="006F325D"/>
    <w:rsid w:val="006F3591"/>
    <w:rsid w:val="006F3ED0"/>
    <w:rsid w:val="006F5060"/>
    <w:rsid w:val="00701653"/>
    <w:rsid w:val="007024AD"/>
    <w:rsid w:val="00705164"/>
    <w:rsid w:val="00715AAE"/>
    <w:rsid w:val="0072361B"/>
    <w:rsid w:val="00727EB2"/>
    <w:rsid w:val="00730E3D"/>
    <w:rsid w:val="00732CB2"/>
    <w:rsid w:val="00735C21"/>
    <w:rsid w:val="007425B2"/>
    <w:rsid w:val="00744555"/>
    <w:rsid w:val="0076335F"/>
    <w:rsid w:val="00767358"/>
    <w:rsid w:val="00770670"/>
    <w:rsid w:val="00787666"/>
    <w:rsid w:val="00792072"/>
    <w:rsid w:val="007A336D"/>
    <w:rsid w:val="007A5DA9"/>
    <w:rsid w:val="007A5DE1"/>
    <w:rsid w:val="007B2174"/>
    <w:rsid w:val="007B21EC"/>
    <w:rsid w:val="007B6464"/>
    <w:rsid w:val="007C5564"/>
    <w:rsid w:val="007D0987"/>
    <w:rsid w:val="007D114C"/>
    <w:rsid w:val="007D1372"/>
    <w:rsid w:val="007D6609"/>
    <w:rsid w:val="007E0F7F"/>
    <w:rsid w:val="007E3169"/>
    <w:rsid w:val="007E3795"/>
    <w:rsid w:val="007E5BE0"/>
    <w:rsid w:val="007E5EFE"/>
    <w:rsid w:val="007E6CC9"/>
    <w:rsid w:val="007E705D"/>
    <w:rsid w:val="007F14B6"/>
    <w:rsid w:val="007F3157"/>
    <w:rsid w:val="007F4392"/>
    <w:rsid w:val="008012AF"/>
    <w:rsid w:val="00801FA4"/>
    <w:rsid w:val="0081215E"/>
    <w:rsid w:val="008124F5"/>
    <w:rsid w:val="008148D3"/>
    <w:rsid w:val="00817A5C"/>
    <w:rsid w:val="00820D3C"/>
    <w:rsid w:val="00823AAA"/>
    <w:rsid w:val="00825B6D"/>
    <w:rsid w:val="008270A0"/>
    <w:rsid w:val="00827E0F"/>
    <w:rsid w:val="008336BB"/>
    <w:rsid w:val="0083488A"/>
    <w:rsid w:val="00835822"/>
    <w:rsid w:val="008370BD"/>
    <w:rsid w:val="008426F0"/>
    <w:rsid w:val="00853FD9"/>
    <w:rsid w:val="00855347"/>
    <w:rsid w:val="008556A4"/>
    <w:rsid w:val="00857810"/>
    <w:rsid w:val="00864FB1"/>
    <w:rsid w:val="0086576D"/>
    <w:rsid w:val="00880754"/>
    <w:rsid w:val="00883162"/>
    <w:rsid w:val="00887F9F"/>
    <w:rsid w:val="008907A2"/>
    <w:rsid w:val="00890B48"/>
    <w:rsid w:val="00892842"/>
    <w:rsid w:val="00893FB7"/>
    <w:rsid w:val="00893FBA"/>
    <w:rsid w:val="008A12B2"/>
    <w:rsid w:val="008A19AB"/>
    <w:rsid w:val="008A4E6B"/>
    <w:rsid w:val="008B21BF"/>
    <w:rsid w:val="008B73EE"/>
    <w:rsid w:val="008C26F9"/>
    <w:rsid w:val="008D2EA5"/>
    <w:rsid w:val="008D3B1E"/>
    <w:rsid w:val="008D6FE9"/>
    <w:rsid w:val="008E0724"/>
    <w:rsid w:val="008E3A3A"/>
    <w:rsid w:val="008E4CF1"/>
    <w:rsid w:val="008E5287"/>
    <w:rsid w:val="008E60AD"/>
    <w:rsid w:val="008E6EE8"/>
    <w:rsid w:val="008E792F"/>
    <w:rsid w:val="008F5322"/>
    <w:rsid w:val="00900751"/>
    <w:rsid w:val="0090471F"/>
    <w:rsid w:val="00905E29"/>
    <w:rsid w:val="009164FC"/>
    <w:rsid w:val="00917005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516"/>
    <w:rsid w:val="00934A78"/>
    <w:rsid w:val="00934F7B"/>
    <w:rsid w:val="00940E11"/>
    <w:rsid w:val="00945941"/>
    <w:rsid w:val="00945FFC"/>
    <w:rsid w:val="00946B54"/>
    <w:rsid w:val="00951A23"/>
    <w:rsid w:val="00953C19"/>
    <w:rsid w:val="00954FA0"/>
    <w:rsid w:val="00960FC7"/>
    <w:rsid w:val="009622F3"/>
    <w:rsid w:val="0096371B"/>
    <w:rsid w:val="00964190"/>
    <w:rsid w:val="00967297"/>
    <w:rsid w:val="00974A68"/>
    <w:rsid w:val="00977CF3"/>
    <w:rsid w:val="009800B8"/>
    <w:rsid w:val="00980137"/>
    <w:rsid w:val="00983712"/>
    <w:rsid w:val="00992A51"/>
    <w:rsid w:val="00992D2F"/>
    <w:rsid w:val="00995359"/>
    <w:rsid w:val="0099655C"/>
    <w:rsid w:val="009A5311"/>
    <w:rsid w:val="009A6DBE"/>
    <w:rsid w:val="009A7C2E"/>
    <w:rsid w:val="009B07D4"/>
    <w:rsid w:val="009B3288"/>
    <w:rsid w:val="009B5B4D"/>
    <w:rsid w:val="009B7B3B"/>
    <w:rsid w:val="009C4EE4"/>
    <w:rsid w:val="009C6304"/>
    <w:rsid w:val="009C7393"/>
    <w:rsid w:val="009C7ADC"/>
    <w:rsid w:val="009D3FB7"/>
    <w:rsid w:val="009D4ED5"/>
    <w:rsid w:val="009E428A"/>
    <w:rsid w:val="009E60A4"/>
    <w:rsid w:val="009E7BAC"/>
    <w:rsid w:val="009F4291"/>
    <w:rsid w:val="009F5B04"/>
    <w:rsid w:val="009F6B5E"/>
    <w:rsid w:val="00A02140"/>
    <w:rsid w:val="00A05152"/>
    <w:rsid w:val="00A07972"/>
    <w:rsid w:val="00A14EC0"/>
    <w:rsid w:val="00A16159"/>
    <w:rsid w:val="00A260A3"/>
    <w:rsid w:val="00A345A0"/>
    <w:rsid w:val="00A364BC"/>
    <w:rsid w:val="00A42401"/>
    <w:rsid w:val="00A42667"/>
    <w:rsid w:val="00A45A07"/>
    <w:rsid w:val="00A61E25"/>
    <w:rsid w:val="00A62CFD"/>
    <w:rsid w:val="00A63CAC"/>
    <w:rsid w:val="00A659F8"/>
    <w:rsid w:val="00A666C5"/>
    <w:rsid w:val="00A6740A"/>
    <w:rsid w:val="00A71FFC"/>
    <w:rsid w:val="00A745D8"/>
    <w:rsid w:val="00A75511"/>
    <w:rsid w:val="00A75F56"/>
    <w:rsid w:val="00A76F31"/>
    <w:rsid w:val="00A83310"/>
    <w:rsid w:val="00A86579"/>
    <w:rsid w:val="00A86AC0"/>
    <w:rsid w:val="00A93E62"/>
    <w:rsid w:val="00A94B52"/>
    <w:rsid w:val="00A97DEB"/>
    <w:rsid w:val="00AA360A"/>
    <w:rsid w:val="00AA7459"/>
    <w:rsid w:val="00AA7AEB"/>
    <w:rsid w:val="00AB11BC"/>
    <w:rsid w:val="00AB2480"/>
    <w:rsid w:val="00AB402D"/>
    <w:rsid w:val="00AC25CE"/>
    <w:rsid w:val="00AC2E96"/>
    <w:rsid w:val="00AC7363"/>
    <w:rsid w:val="00AD04EC"/>
    <w:rsid w:val="00AD0AFE"/>
    <w:rsid w:val="00AD3EE2"/>
    <w:rsid w:val="00AD5407"/>
    <w:rsid w:val="00AE4B60"/>
    <w:rsid w:val="00AF09E9"/>
    <w:rsid w:val="00AF4E06"/>
    <w:rsid w:val="00B06491"/>
    <w:rsid w:val="00B0726E"/>
    <w:rsid w:val="00B077FB"/>
    <w:rsid w:val="00B11DEB"/>
    <w:rsid w:val="00B1452D"/>
    <w:rsid w:val="00B1780A"/>
    <w:rsid w:val="00B21E07"/>
    <w:rsid w:val="00B22511"/>
    <w:rsid w:val="00B22CED"/>
    <w:rsid w:val="00B230F0"/>
    <w:rsid w:val="00B25961"/>
    <w:rsid w:val="00B32061"/>
    <w:rsid w:val="00B35BE2"/>
    <w:rsid w:val="00B35ED1"/>
    <w:rsid w:val="00B4305E"/>
    <w:rsid w:val="00B47372"/>
    <w:rsid w:val="00B501E9"/>
    <w:rsid w:val="00B52734"/>
    <w:rsid w:val="00B559E8"/>
    <w:rsid w:val="00B55D1C"/>
    <w:rsid w:val="00B567B6"/>
    <w:rsid w:val="00B62C78"/>
    <w:rsid w:val="00B63BCC"/>
    <w:rsid w:val="00B6601E"/>
    <w:rsid w:val="00B81458"/>
    <w:rsid w:val="00B8406A"/>
    <w:rsid w:val="00B84599"/>
    <w:rsid w:val="00B86D94"/>
    <w:rsid w:val="00B93F62"/>
    <w:rsid w:val="00BA063C"/>
    <w:rsid w:val="00BA2993"/>
    <w:rsid w:val="00BA3CA9"/>
    <w:rsid w:val="00BA58D0"/>
    <w:rsid w:val="00BA7C46"/>
    <w:rsid w:val="00BB1C73"/>
    <w:rsid w:val="00BB4500"/>
    <w:rsid w:val="00BB73F5"/>
    <w:rsid w:val="00BC0430"/>
    <w:rsid w:val="00BC3ADB"/>
    <w:rsid w:val="00BC3CBF"/>
    <w:rsid w:val="00BC7180"/>
    <w:rsid w:val="00BD4F0E"/>
    <w:rsid w:val="00BE1837"/>
    <w:rsid w:val="00BE5E8C"/>
    <w:rsid w:val="00BE6056"/>
    <w:rsid w:val="00BF1401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F6"/>
    <w:rsid w:val="00C132C0"/>
    <w:rsid w:val="00C2428D"/>
    <w:rsid w:val="00C33ED4"/>
    <w:rsid w:val="00C36D3F"/>
    <w:rsid w:val="00C42BBC"/>
    <w:rsid w:val="00C478FE"/>
    <w:rsid w:val="00C47EF1"/>
    <w:rsid w:val="00C53685"/>
    <w:rsid w:val="00C537B2"/>
    <w:rsid w:val="00C53F97"/>
    <w:rsid w:val="00C57E7B"/>
    <w:rsid w:val="00C622C6"/>
    <w:rsid w:val="00C632C3"/>
    <w:rsid w:val="00C72307"/>
    <w:rsid w:val="00C802B4"/>
    <w:rsid w:val="00C85B7D"/>
    <w:rsid w:val="00C94FB3"/>
    <w:rsid w:val="00C96587"/>
    <w:rsid w:val="00CA137A"/>
    <w:rsid w:val="00CB0D3A"/>
    <w:rsid w:val="00CB7124"/>
    <w:rsid w:val="00CC2C06"/>
    <w:rsid w:val="00CC4853"/>
    <w:rsid w:val="00CC507F"/>
    <w:rsid w:val="00CD0EDD"/>
    <w:rsid w:val="00CD5B7B"/>
    <w:rsid w:val="00CD6389"/>
    <w:rsid w:val="00CD7C99"/>
    <w:rsid w:val="00CE1481"/>
    <w:rsid w:val="00CE2443"/>
    <w:rsid w:val="00CE2C34"/>
    <w:rsid w:val="00CF4448"/>
    <w:rsid w:val="00CF450E"/>
    <w:rsid w:val="00CF453A"/>
    <w:rsid w:val="00CF6E89"/>
    <w:rsid w:val="00D00BC4"/>
    <w:rsid w:val="00D04C78"/>
    <w:rsid w:val="00D15217"/>
    <w:rsid w:val="00D15C00"/>
    <w:rsid w:val="00D161FC"/>
    <w:rsid w:val="00D17D96"/>
    <w:rsid w:val="00D2238E"/>
    <w:rsid w:val="00D238DD"/>
    <w:rsid w:val="00D37D33"/>
    <w:rsid w:val="00D46231"/>
    <w:rsid w:val="00D46F82"/>
    <w:rsid w:val="00D472B2"/>
    <w:rsid w:val="00D506E5"/>
    <w:rsid w:val="00D55E5F"/>
    <w:rsid w:val="00D71C44"/>
    <w:rsid w:val="00D72D61"/>
    <w:rsid w:val="00D803A4"/>
    <w:rsid w:val="00D80E56"/>
    <w:rsid w:val="00D82153"/>
    <w:rsid w:val="00D82A8F"/>
    <w:rsid w:val="00D91E45"/>
    <w:rsid w:val="00D951DE"/>
    <w:rsid w:val="00D96319"/>
    <w:rsid w:val="00DA1F85"/>
    <w:rsid w:val="00DA21B2"/>
    <w:rsid w:val="00DA6A4A"/>
    <w:rsid w:val="00DB410C"/>
    <w:rsid w:val="00DB70AF"/>
    <w:rsid w:val="00DB7F3D"/>
    <w:rsid w:val="00DC3B11"/>
    <w:rsid w:val="00DC4F00"/>
    <w:rsid w:val="00DC7150"/>
    <w:rsid w:val="00DD28DA"/>
    <w:rsid w:val="00DD5FB8"/>
    <w:rsid w:val="00DE1B30"/>
    <w:rsid w:val="00DE1E6C"/>
    <w:rsid w:val="00DE6CAD"/>
    <w:rsid w:val="00DE6EAB"/>
    <w:rsid w:val="00DF24BF"/>
    <w:rsid w:val="00DF4226"/>
    <w:rsid w:val="00DF4795"/>
    <w:rsid w:val="00E14AE6"/>
    <w:rsid w:val="00E16C04"/>
    <w:rsid w:val="00E27F98"/>
    <w:rsid w:val="00E309BB"/>
    <w:rsid w:val="00E30B87"/>
    <w:rsid w:val="00E32816"/>
    <w:rsid w:val="00E34662"/>
    <w:rsid w:val="00E40C61"/>
    <w:rsid w:val="00E46516"/>
    <w:rsid w:val="00E467C8"/>
    <w:rsid w:val="00E558EE"/>
    <w:rsid w:val="00E619E3"/>
    <w:rsid w:val="00E648EC"/>
    <w:rsid w:val="00E6755C"/>
    <w:rsid w:val="00E67651"/>
    <w:rsid w:val="00E67BAE"/>
    <w:rsid w:val="00E711DD"/>
    <w:rsid w:val="00E7288A"/>
    <w:rsid w:val="00E7623F"/>
    <w:rsid w:val="00E862C9"/>
    <w:rsid w:val="00E87B9A"/>
    <w:rsid w:val="00E92705"/>
    <w:rsid w:val="00E927B9"/>
    <w:rsid w:val="00EA0052"/>
    <w:rsid w:val="00EA31B7"/>
    <w:rsid w:val="00EA5A50"/>
    <w:rsid w:val="00EA799F"/>
    <w:rsid w:val="00EB2259"/>
    <w:rsid w:val="00EC49F3"/>
    <w:rsid w:val="00EC6A7C"/>
    <w:rsid w:val="00ED02B9"/>
    <w:rsid w:val="00ED0DF1"/>
    <w:rsid w:val="00ED1A90"/>
    <w:rsid w:val="00ED43FF"/>
    <w:rsid w:val="00ED55DE"/>
    <w:rsid w:val="00ED75B6"/>
    <w:rsid w:val="00ED7CBD"/>
    <w:rsid w:val="00EE0F78"/>
    <w:rsid w:val="00EE197A"/>
    <w:rsid w:val="00EF2C68"/>
    <w:rsid w:val="00EF2F55"/>
    <w:rsid w:val="00F01769"/>
    <w:rsid w:val="00F06937"/>
    <w:rsid w:val="00F11951"/>
    <w:rsid w:val="00F13311"/>
    <w:rsid w:val="00F14C52"/>
    <w:rsid w:val="00F15A48"/>
    <w:rsid w:val="00F17DA9"/>
    <w:rsid w:val="00F214E0"/>
    <w:rsid w:val="00F274F0"/>
    <w:rsid w:val="00F27CB5"/>
    <w:rsid w:val="00F3275E"/>
    <w:rsid w:val="00F32B01"/>
    <w:rsid w:val="00F374E2"/>
    <w:rsid w:val="00F41E2A"/>
    <w:rsid w:val="00F4407E"/>
    <w:rsid w:val="00F4463A"/>
    <w:rsid w:val="00F46D6F"/>
    <w:rsid w:val="00F50E3B"/>
    <w:rsid w:val="00F51C68"/>
    <w:rsid w:val="00F571CF"/>
    <w:rsid w:val="00F6395E"/>
    <w:rsid w:val="00F72F06"/>
    <w:rsid w:val="00F74FC1"/>
    <w:rsid w:val="00F75ECE"/>
    <w:rsid w:val="00F90C4C"/>
    <w:rsid w:val="00F91820"/>
    <w:rsid w:val="00F92B1D"/>
    <w:rsid w:val="00F962FA"/>
    <w:rsid w:val="00F96357"/>
    <w:rsid w:val="00F978BD"/>
    <w:rsid w:val="00FA3416"/>
    <w:rsid w:val="00FA64F9"/>
    <w:rsid w:val="00FB69E4"/>
    <w:rsid w:val="00FC0138"/>
    <w:rsid w:val="00FC0899"/>
    <w:rsid w:val="00FD2C26"/>
    <w:rsid w:val="00FD366B"/>
    <w:rsid w:val="00FD3691"/>
    <w:rsid w:val="00FD3BDB"/>
    <w:rsid w:val="00FD6580"/>
    <w:rsid w:val="00FE1C50"/>
    <w:rsid w:val="00FE7DB8"/>
    <w:rsid w:val="00FF1E82"/>
    <w:rsid w:val="00FF28EF"/>
    <w:rsid w:val="00FF2D66"/>
    <w:rsid w:val="00FF4200"/>
    <w:rsid w:val="00FF5031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354EA1"/>
  <w15:docId w15:val="{5ABCD289-68C9-4CED-BB9B-39775DB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7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F"/>
    <w:rPr>
      <w:rFonts w:ascii="Tahoma" w:eastAsia="Times New Roman" w:hAnsi="Tahoma" w:cs="Tahoma"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F5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7569-3E8F-4D19-8568-1C6DEE84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Campbell-Jones, Karen</dc:creator>
  <cp:lastModifiedBy>Campbell-Jones, Karen</cp:lastModifiedBy>
  <cp:revision>8</cp:revision>
  <cp:lastPrinted>2015-01-12T14:51:00Z</cp:lastPrinted>
  <dcterms:created xsi:type="dcterms:W3CDTF">2019-03-13T17:42:00Z</dcterms:created>
  <dcterms:modified xsi:type="dcterms:W3CDTF">2019-06-07T02:32:00Z</dcterms:modified>
</cp:coreProperties>
</file>