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48" w:rsidRPr="009F6B5E" w:rsidRDefault="00CF4448" w:rsidP="00B52734">
      <w:pPr>
        <w:spacing w:after="120"/>
        <w:rPr>
          <w:rFonts w:ascii="Arial" w:hAnsi="Arial" w:cs="Arial"/>
          <w:b/>
          <w:bCs/>
          <w:vanish/>
          <w:sz w:val="22"/>
          <w:szCs w:val="22"/>
          <w:specVanish/>
        </w:rPr>
      </w:pPr>
      <w:r w:rsidRPr="009F6B5E">
        <w:rPr>
          <w:rFonts w:ascii="Arial" w:eastAsia="Calibri" w:hAnsi="Arial" w:cs="Arial"/>
          <w:b/>
          <w:bCs/>
          <w:sz w:val="22"/>
          <w:szCs w:val="22"/>
        </w:rPr>
        <w:t>Canadian Freight Index Highlights:</w:t>
      </w:r>
    </w:p>
    <w:p w:rsidR="00CF4448" w:rsidRPr="009F6B5E" w:rsidRDefault="00CF4448" w:rsidP="00CF4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  <w:bCs/>
          <w:sz w:val="22"/>
          <w:szCs w:val="22"/>
        </w:rPr>
      </w:pPr>
    </w:p>
    <w:p w:rsidR="00CF4448" w:rsidRPr="00BB1C73" w:rsidRDefault="00CF4448" w:rsidP="00B52734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 w:rsidRPr="00BB1C73">
        <w:rPr>
          <w:rFonts w:ascii="Arial" w:eastAsia="Calibri" w:hAnsi="Arial" w:cs="Arial"/>
          <w:b/>
          <w:bCs/>
          <w:sz w:val="22"/>
          <w:szCs w:val="22"/>
        </w:rPr>
        <w:t>Month-over-month:</w:t>
      </w:r>
      <w:r w:rsidR="009C6304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A62CFD" w:rsidRPr="00BB1C73">
        <w:rPr>
          <w:rFonts w:ascii="Arial" w:eastAsia="Calibri" w:hAnsi="Arial" w:cs="Arial"/>
          <w:bCs/>
          <w:sz w:val="22"/>
          <w:szCs w:val="22"/>
        </w:rPr>
        <w:t>V</w:t>
      </w:r>
      <w:r w:rsidRPr="00BB1C73">
        <w:rPr>
          <w:rFonts w:ascii="Arial" w:eastAsia="Calibri" w:hAnsi="Arial" w:cs="Arial"/>
          <w:bCs/>
          <w:sz w:val="22"/>
          <w:szCs w:val="22"/>
        </w:rPr>
        <w:t>olumes</w:t>
      </w:r>
      <w:r w:rsidR="00A62CFD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2244A7">
        <w:rPr>
          <w:rFonts w:ascii="Arial" w:eastAsia="Calibri" w:hAnsi="Arial" w:cs="Arial"/>
          <w:bCs/>
          <w:sz w:val="22"/>
          <w:szCs w:val="22"/>
        </w:rPr>
        <w:t>increased</w:t>
      </w:r>
      <w:r w:rsidR="002244A7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2244A7">
        <w:rPr>
          <w:rFonts w:ascii="Arial" w:eastAsia="Calibri" w:hAnsi="Arial" w:cs="Arial"/>
          <w:bCs/>
          <w:sz w:val="22"/>
          <w:szCs w:val="22"/>
        </w:rPr>
        <w:t>two</w:t>
      </w:r>
      <w:r w:rsidR="00E92705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220A5" w:rsidRPr="00BB1C73">
        <w:rPr>
          <w:rFonts w:ascii="Arial" w:eastAsia="Calibri" w:hAnsi="Arial" w:cs="Arial"/>
          <w:bCs/>
          <w:sz w:val="22"/>
          <w:szCs w:val="22"/>
        </w:rPr>
        <w:t>percent</w:t>
      </w:r>
      <w:r w:rsidR="000C0137" w:rsidRPr="00BB1C73">
        <w:rPr>
          <w:rFonts w:ascii="Arial" w:eastAsia="Calibri" w:hAnsi="Arial" w:cs="Arial"/>
          <w:bCs/>
          <w:sz w:val="22"/>
          <w:szCs w:val="22"/>
        </w:rPr>
        <w:t xml:space="preserve"> compared to</w:t>
      </w:r>
      <w:r w:rsidR="006F06EE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37060">
        <w:rPr>
          <w:rFonts w:ascii="Arial" w:eastAsia="Calibri" w:hAnsi="Arial" w:cs="Arial"/>
          <w:bCs/>
          <w:sz w:val="22"/>
          <w:szCs w:val="22"/>
        </w:rPr>
        <w:t>Ju</w:t>
      </w:r>
      <w:r w:rsidR="002244A7">
        <w:rPr>
          <w:rFonts w:ascii="Arial" w:eastAsia="Calibri" w:hAnsi="Arial" w:cs="Arial"/>
          <w:bCs/>
          <w:sz w:val="22"/>
          <w:szCs w:val="22"/>
        </w:rPr>
        <w:t>ly</w:t>
      </w:r>
      <w:r w:rsidR="00E87B9A">
        <w:rPr>
          <w:rFonts w:ascii="Arial" w:eastAsia="Calibri" w:hAnsi="Arial" w:cs="Arial"/>
          <w:bCs/>
          <w:sz w:val="22"/>
          <w:szCs w:val="22"/>
        </w:rPr>
        <w:t xml:space="preserve"> 2019</w:t>
      </w:r>
      <w:r w:rsidR="00FF7195" w:rsidRPr="00BB1C73">
        <w:rPr>
          <w:rFonts w:ascii="Arial" w:eastAsia="Calibri" w:hAnsi="Arial" w:cs="Arial"/>
          <w:bCs/>
          <w:sz w:val="22"/>
          <w:szCs w:val="22"/>
        </w:rPr>
        <w:t>.</w:t>
      </w:r>
    </w:p>
    <w:p w:rsidR="001A7C84" w:rsidRDefault="00CF4448" w:rsidP="001A7C84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360"/>
        <w:rPr>
          <w:rFonts w:ascii="Arial" w:eastAsia="Calibri" w:hAnsi="Arial" w:cs="Arial"/>
          <w:b/>
          <w:bCs/>
          <w:sz w:val="22"/>
          <w:szCs w:val="22"/>
        </w:rPr>
      </w:pPr>
      <w:r w:rsidRPr="001A1025">
        <w:rPr>
          <w:rFonts w:ascii="Arial" w:hAnsi="Arial" w:cs="Arial"/>
          <w:b/>
          <w:bCs/>
          <w:sz w:val="22"/>
          <w:szCs w:val="22"/>
        </w:rPr>
        <w:t>Year-over-yea</w:t>
      </w:r>
      <w:r w:rsidRPr="001A1025">
        <w:rPr>
          <w:rFonts w:ascii="Arial" w:eastAsia="Calibri" w:hAnsi="Arial" w:cs="Arial"/>
          <w:b/>
          <w:bCs/>
          <w:sz w:val="22"/>
          <w:szCs w:val="22"/>
        </w:rPr>
        <w:t xml:space="preserve">r: </w:t>
      </w:r>
      <w:r w:rsidR="00A62CFD" w:rsidRPr="001A1025">
        <w:rPr>
          <w:rFonts w:ascii="Arial" w:eastAsia="Calibri" w:hAnsi="Arial" w:cs="Arial"/>
          <w:bCs/>
          <w:sz w:val="22"/>
          <w:szCs w:val="22"/>
        </w:rPr>
        <w:t>V</w:t>
      </w:r>
      <w:r w:rsidRPr="001A1025">
        <w:rPr>
          <w:rFonts w:ascii="Arial" w:eastAsia="Calibri" w:hAnsi="Arial" w:cs="Arial"/>
          <w:bCs/>
          <w:sz w:val="22"/>
          <w:szCs w:val="22"/>
        </w:rPr>
        <w:t xml:space="preserve">olumes </w:t>
      </w:r>
      <w:r w:rsidR="00823AAA">
        <w:rPr>
          <w:rFonts w:ascii="Arial" w:eastAsia="Calibri" w:hAnsi="Arial" w:cs="Arial"/>
          <w:bCs/>
          <w:sz w:val="22"/>
          <w:szCs w:val="22"/>
        </w:rPr>
        <w:t>de</w:t>
      </w:r>
      <w:r w:rsidR="00400A05" w:rsidRPr="001A1025">
        <w:rPr>
          <w:rFonts w:ascii="Arial" w:eastAsia="Calibri" w:hAnsi="Arial" w:cs="Arial"/>
          <w:bCs/>
          <w:sz w:val="22"/>
          <w:szCs w:val="22"/>
        </w:rPr>
        <w:t>creased</w:t>
      </w:r>
      <w:r w:rsidR="005C20E9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37060">
        <w:rPr>
          <w:rFonts w:ascii="Arial" w:eastAsia="Calibri" w:hAnsi="Arial" w:cs="Arial"/>
          <w:bCs/>
          <w:sz w:val="22"/>
          <w:szCs w:val="22"/>
        </w:rPr>
        <w:t>2</w:t>
      </w:r>
      <w:r w:rsidR="002244A7">
        <w:rPr>
          <w:rFonts w:ascii="Arial" w:eastAsia="Calibri" w:hAnsi="Arial" w:cs="Arial"/>
          <w:bCs/>
          <w:sz w:val="22"/>
          <w:szCs w:val="22"/>
        </w:rPr>
        <w:t>3</w:t>
      </w:r>
      <w:r w:rsidR="00BC3ADB" w:rsidRPr="001A102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400A05" w:rsidRPr="001A1025">
        <w:rPr>
          <w:rFonts w:ascii="Arial" w:eastAsia="Calibri" w:hAnsi="Arial" w:cs="Arial"/>
          <w:bCs/>
          <w:sz w:val="22"/>
          <w:szCs w:val="22"/>
        </w:rPr>
        <w:t xml:space="preserve">percent </w:t>
      </w:r>
      <w:r w:rsidR="00864FB1" w:rsidRPr="001A1025">
        <w:rPr>
          <w:rFonts w:ascii="Arial" w:eastAsia="Calibri" w:hAnsi="Arial" w:cs="Arial"/>
          <w:bCs/>
          <w:sz w:val="22"/>
          <w:szCs w:val="22"/>
        </w:rPr>
        <w:t>c</w:t>
      </w:r>
      <w:r w:rsidRPr="001A1025">
        <w:rPr>
          <w:rFonts w:ascii="Arial" w:eastAsia="Calibri" w:hAnsi="Arial" w:cs="Arial"/>
          <w:bCs/>
          <w:sz w:val="22"/>
          <w:szCs w:val="22"/>
        </w:rPr>
        <w:t>ompared to</w:t>
      </w:r>
      <w:r w:rsidR="007C5564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2244A7">
        <w:rPr>
          <w:rFonts w:ascii="Arial" w:eastAsia="Calibri" w:hAnsi="Arial" w:cs="Arial"/>
          <w:bCs/>
          <w:sz w:val="22"/>
          <w:szCs w:val="22"/>
        </w:rPr>
        <w:t>August</w:t>
      </w:r>
      <w:r w:rsidR="00937060" w:rsidRPr="001A102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74A68" w:rsidRPr="001A1025">
        <w:rPr>
          <w:rFonts w:ascii="Arial" w:eastAsia="Calibri" w:hAnsi="Arial" w:cs="Arial"/>
          <w:bCs/>
          <w:sz w:val="22"/>
          <w:szCs w:val="22"/>
        </w:rPr>
        <w:t>201</w:t>
      </w:r>
      <w:r w:rsidR="007C5564">
        <w:rPr>
          <w:rFonts w:ascii="Arial" w:eastAsia="Calibri" w:hAnsi="Arial" w:cs="Arial"/>
          <w:bCs/>
          <w:sz w:val="22"/>
          <w:szCs w:val="22"/>
        </w:rPr>
        <w:t>8</w:t>
      </w:r>
      <w:r w:rsidR="00FF7195" w:rsidRPr="001A1025">
        <w:rPr>
          <w:rFonts w:ascii="Arial" w:eastAsia="Calibri" w:hAnsi="Arial" w:cs="Arial"/>
          <w:bCs/>
          <w:sz w:val="22"/>
          <w:szCs w:val="22"/>
        </w:rPr>
        <w:t>.</w:t>
      </w:r>
    </w:p>
    <w:p w:rsidR="00BB73F5" w:rsidRPr="005553D7" w:rsidRDefault="001A7C84" w:rsidP="001A7C84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360"/>
        <w:rPr>
          <w:rFonts w:ascii="Arial" w:eastAsia="Calibri" w:hAnsi="Arial" w:cs="Arial"/>
          <w:bCs/>
          <w:sz w:val="22"/>
          <w:szCs w:val="22"/>
        </w:rPr>
      </w:pPr>
      <w:r w:rsidRPr="001A7C84">
        <w:rPr>
          <w:rFonts w:ascii="Arial" w:hAnsi="Arial" w:cs="Arial"/>
          <w:b/>
          <w:bCs/>
          <w:sz w:val="22"/>
          <w:szCs w:val="22"/>
        </w:rPr>
        <w:t>Highlights</w:t>
      </w:r>
      <w:r w:rsidRPr="001A7C84">
        <w:rPr>
          <w:rFonts w:ascii="Arial" w:hAnsi="Arial" w:cs="Arial"/>
          <w:b/>
          <w:bCs/>
        </w:rPr>
        <w:t>:</w:t>
      </w:r>
      <w:r w:rsidR="008A12B2">
        <w:rPr>
          <w:rFonts w:ascii="Arial" w:hAnsi="Arial" w:cs="Arial"/>
          <w:b/>
          <w:bCs/>
        </w:rPr>
        <w:t xml:space="preserve"> </w:t>
      </w:r>
    </w:p>
    <w:p w:rsidR="001A7C84" w:rsidRPr="005553D7" w:rsidRDefault="001A7C84" w:rsidP="00E92705">
      <w:pPr>
        <w:ind w:left="360"/>
        <w:rPr>
          <w:rFonts w:ascii="Arial" w:hAnsi="Arial" w:cs="Arial"/>
          <w:sz w:val="22"/>
        </w:rPr>
      </w:pPr>
      <w:r w:rsidRPr="005553D7">
        <w:rPr>
          <w:rFonts w:ascii="Arial" w:hAnsi="Arial" w:cs="Arial"/>
          <w:b/>
          <w:sz w:val="22"/>
          <w:szCs w:val="22"/>
        </w:rPr>
        <w:t>Truck-to-load ratio:</w:t>
      </w:r>
      <w:r w:rsidR="00B21E07" w:rsidRPr="005553D7">
        <w:rPr>
          <w:rFonts w:ascii="Arial" w:hAnsi="Arial" w:cs="Arial"/>
        </w:rPr>
        <w:t xml:space="preserve"> </w:t>
      </w:r>
      <w:r w:rsidR="006F06EE">
        <w:rPr>
          <w:rFonts w:ascii="Arial" w:hAnsi="Arial" w:cs="Arial"/>
          <w:sz w:val="22"/>
        </w:rPr>
        <w:t>The ratio</w:t>
      </w:r>
      <w:r w:rsidR="00B21E07" w:rsidRPr="005553D7">
        <w:rPr>
          <w:rFonts w:ascii="Arial" w:hAnsi="Arial" w:cs="Arial"/>
          <w:sz w:val="22"/>
        </w:rPr>
        <w:t xml:space="preserve"> </w:t>
      </w:r>
      <w:r w:rsidR="002244A7">
        <w:rPr>
          <w:rFonts w:ascii="Arial" w:hAnsi="Arial" w:cs="Arial"/>
          <w:sz w:val="22"/>
        </w:rPr>
        <w:t>decrease</w:t>
      </w:r>
      <w:r w:rsidR="00937060">
        <w:rPr>
          <w:rFonts w:ascii="Arial" w:hAnsi="Arial" w:cs="Arial"/>
          <w:sz w:val="22"/>
        </w:rPr>
        <w:t xml:space="preserve">d </w:t>
      </w:r>
      <w:r w:rsidR="00CB5745">
        <w:rPr>
          <w:rFonts w:ascii="Arial" w:hAnsi="Arial" w:cs="Arial"/>
          <w:sz w:val="22"/>
        </w:rPr>
        <w:t>seven</w:t>
      </w:r>
      <w:r w:rsidR="007C5564" w:rsidRPr="005553D7">
        <w:rPr>
          <w:rFonts w:ascii="Arial" w:hAnsi="Arial" w:cs="Arial"/>
          <w:sz w:val="22"/>
        </w:rPr>
        <w:t xml:space="preserve"> percent </w:t>
      </w:r>
      <w:r w:rsidR="00B21E07" w:rsidRPr="005553D7">
        <w:rPr>
          <w:rFonts w:ascii="Arial" w:hAnsi="Arial" w:cs="Arial"/>
          <w:sz w:val="22"/>
        </w:rPr>
        <w:t xml:space="preserve">to </w:t>
      </w:r>
      <w:r w:rsidR="002244A7">
        <w:rPr>
          <w:rFonts w:ascii="Arial" w:hAnsi="Arial" w:cs="Arial"/>
          <w:sz w:val="22"/>
        </w:rPr>
        <w:t>3</w:t>
      </w:r>
      <w:r w:rsidR="00E87B9A">
        <w:rPr>
          <w:rFonts w:ascii="Arial" w:hAnsi="Arial" w:cs="Arial"/>
          <w:sz w:val="22"/>
        </w:rPr>
        <w:t>.</w:t>
      </w:r>
      <w:r w:rsidR="002244A7">
        <w:rPr>
          <w:rFonts w:ascii="Arial" w:hAnsi="Arial" w:cs="Arial"/>
          <w:sz w:val="22"/>
        </w:rPr>
        <w:t>88</w:t>
      </w:r>
      <w:r w:rsidR="00B21E07" w:rsidRPr="005553D7">
        <w:rPr>
          <w:rFonts w:ascii="Arial" w:hAnsi="Arial" w:cs="Arial"/>
          <w:sz w:val="22"/>
        </w:rPr>
        <w:t xml:space="preserve"> from </w:t>
      </w:r>
      <w:r w:rsidR="002244A7">
        <w:rPr>
          <w:rFonts w:ascii="Arial" w:hAnsi="Arial" w:cs="Arial"/>
          <w:sz w:val="22"/>
        </w:rPr>
        <w:t>4</w:t>
      </w:r>
      <w:r w:rsidR="00E87B9A">
        <w:rPr>
          <w:rFonts w:ascii="Arial" w:hAnsi="Arial" w:cs="Arial"/>
          <w:sz w:val="22"/>
        </w:rPr>
        <w:t>.</w:t>
      </w:r>
      <w:r w:rsidR="00937060">
        <w:rPr>
          <w:rFonts w:ascii="Arial" w:hAnsi="Arial" w:cs="Arial"/>
          <w:sz w:val="22"/>
        </w:rPr>
        <w:t>1</w:t>
      </w:r>
      <w:r w:rsidR="002244A7">
        <w:rPr>
          <w:rFonts w:ascii="Arial" w:hAnsi="Arial" w:cs="Arial"/>
          <w:sz w:val="22"/>
        </w:rPr>
        <w:t>6</w:t>
      </w:r>
      <w:r w:rsidR="00B21E07" w:rsidRPr="005553D7">
        <w:rPr>
          <w:rFonts w:ascii="Arial" w:hAnsi="Arial" w:cs="Arial"/>
          <w:sz w:val="22"/>
        </w:rPr>
        <w:t xml:space="preserve"> in</w:t>
      </w:r>
      <w:r w:rsidR="005C20E9" w:rsidRPr="005553D7">
        <w:rPr>
          <w:rFonts w:ascii="Arial" w:hAnsi="Arial" w:cs="Arial"/>
          <w:sz w:val="22"/>
        </w:rPr>
        <w:t xml:space="preserve"> </w:t>
      </w:r>
      <w:r w:rsidR="00937060">
        <w:rPr>
          <w:rFonts w:ascii="Arial" w:hAnsi="Arial" w:cs="Arial"/>
          <w:sz w:val="22"/>
        </w:rPr>
        <w:t>Ju</w:t>
      </w:r>
      <w:r w:rsidR="002244A7">
        <w:rPr>
          <w:rFonts w:ascii="Arial" w:hAnsi="Arial" w:cs="Arial"/>
          <w:sz w:val="22"/>
        </w:rPr>
        <w:t>ly</w:t>
      </w:r>
      <w:r w:rsidR="00E87B9A">
        <w:rPr>
          <w:rFonts w:ascii="Arial" w:hAnsi="Arial" w:cs="Arial"/>
          <w:sz w:val="22"/>
        </w:rPr>
        <w:t xml:space="preserve"> 2019</w:t>
      </w:r>
      <w:r w:rsidR="00B21E07" w:rsidRPr="005553D7">
        <w:rPr>
          <w:rFonts w:ascii="Arial" w:hAnsi="Arial" w:cs="Arial"/>
          <w:sz w:val="22"/>
        </w:rPr>
        <w:t>.</w:t>
      </w:r>
      <w:r w:rsidR="00912338">
        <w:rPr>
          <w:rFonts w:ascii="Arial" w:hAnsi="Arial" w:cs="Arial"/>
          <w:sz w:val="22"/>
        </w:rPr>
        <w:t xml:space="preserve"> </w:t>
      </w:r>
      <w:r w:rsidR="00893FB7" w:rsidRPr="005553D7">
        <w:rPr>
          <w:rFonts w:ascii="Arial" w:hAnsi="Arial" w:cs="Arial"/>
          <w:sz w:val="22"/>
        </w:rPr>
        <w:t xml:space="preserve">Year-over-year, </w:t>
      </w:r>
      <w:r w:rsidR="002244A7">
        <w:rPr>
          <w:rFonts w:ascii="Arial" w:hAnsi="Arial" w:cs="Arial"/>
          <w:sz w:val="22"/>
        </w:rPr>
        <w:t>August</w:t>
      </w:r>
      <w:r w:rsidR="00937060">
        <w:rPr>
          <w:rFonts w:ascii="Arial" w:hAnsi="Arial" w:cs="Arial"/>
          <w:sz w:val="22"/>
        </w:rPr>
        <w:t>’</w:t>
      </w:r>
      <w:r w:rsidR="00937060" w:rsidRPr="005553D7">
        <w:rPr>
          <w:rFonts w:ascii="Arial" w:hAnsi="Arial" w:cs="Arial"/>
          <w:sz w:val="22"/>
        </w:rPr>
        <w:t xml:space="preserve">s </w:t>
      </w:r>
      <w:r w:rsidR="00E87B9A">
        <w:rPr>
          <w:rFonts w:ascii="Arial" w:hAnsi="Arial" w:cs="Arial"/>
          <w:sz w:val="22"/>
        </w:rPr>
        <w:t xml:space="preserve">truck-to-load ratio </w:t>
      </w:r>
      <w:r w:rsidR="002707AD">
        <w:rPr>
          <w:rFonts w:ascii="Arial" w:hAnsi="Arial" w:cs="Arial"/>
          <w:sz w:val="22"/>
        </w:rPr>
        <w:t>increased</w:t>
      </w:r>
      <w:r w:rsidR="00C94FB3" w:rsidRPr="005553D7">
        <w:rPr>
          <w:rFonts w:ascii="Arial" w:hAnsi="Arial" w:cs="Arial"/>
          <w:sz w:val="22"/>
        </w:rPr>
        <w:t xml:space="preserve"> </w:t>
      </w:r>
      <w:r w:rsidR="002244A7">
        <w:rPr>
          <w:rFonts w:ascii="Arial" w:hAnsi="Arial" w:cs="Arial"/>
          <w:sz w:val="22"/>
        </w:rPr>
        <w:t>52</w:t>
      </w:r>
      <w:r w:rsidR="007C5564" w:rsidRPr="005553D7">
        <w:rPr>
          <w:rFonts w:ascii="Arial" w:hAnsi="Arial" w:cs="Arial"/>
          <w:sz w:val="22"/>
        </w:rPr>
        <w:t xml:space="preserve"> percent </w:t>
      </w:r>
      <w:r w:rsidR="00DE6EAB">
        <w:rPr>
          <w:rFonts w:ascii="Arial" w:hAnsi="Arial" w:cs="Arial"/>
          <w:sz w:val="22"/>
        </w:rPr>
        <w:t>compared to</w:t>
      </w:r>
      <w:r w:rsidR="00893FB7" w:rsidRPr="005553D7">
        <w:rPr>
          <w:rFonts w:ascii="Arial" w:hAnsi="Arial" w:cs="Arial"/>
          <w:sz w:val="22"/>
        </w:rPr>
        <w:t xml:space="preserve"> </w:t>
      </w:r>
      <w:r w:rsidR="00937060">
        <w:rPr>
          <w:rFonts w:ascii="Arial" w:hAnsi="Arial" w:cs="Arial"/>
          <w:sz w:val="22"/>
        </w:rPr>
        <w:t>2</w:t>
      </w:r>
      <w:r w:rsidR="006F06EE">
        <w:rPr>
          <w:rFonts w:ascii="Arial" w:hAnsi="Arial" w:cs="Arial"/>
          <w:sz w:val="22"/>
        </w:rPr>
        <w:t>.</w:t>
      </w:r>
      <w:r w:rsidR="002244A7">
        <w:rPr>
          <w:rFonts w:ascii="Arial" w:hAnsi="Arial" w:cs="Arial"/>
          <w:sz w:val="22"/>
        </w:rPr>
        <w:t>55</w:t>
      </w:r>
      <w:r w:rsidR="00893FB7" w:rsidRPr="005553D7">
        <w:rPr>
          <w:rFonts w:ascii="Arial" w:hAnsi="Arial" w:cs="Arial"/>
          <w:sz w:val="22"/>
        </w:rPr>
        <w:t xml:space="preserve"> trucks for every</w:t>
      </w:r>
      <w:r w:rsidR="002707AD">
        <w:rPr>
          <w:rFonts w:ascii="Arial" w:hAnsi="Arial" w:cs="Arial"/>
          <w:sz w:val="22"/>
        </w:rPr>
        <w:t xml:space="preserve"> one</w:t>
      </w:r>
      <w:r w:rsidR="00893FB7" w:rsidRPr="005553D7">
        <w:rPr>
          <w:rFonts w:ascii="Arial" w:hAnsi="Arial" w:cs="Arial"/>
          <w:sz w:val="22"/>
        </w:rPr>
        <w:t xml:space="preserve"> load available</w:t>
      </w:r>
      <w:r w:rsidR="00486B78">
        <w:rPr>
          <w:rFonts w:ascii="Arial" w:hAnsi="Arial" w:cs="Arial"/>
          <w:sz w:val="22"/>
        </w:rPr>
        <w:t xml:space="preserve"> recorded in </w:t>
      </w:r>
      <w:r w:rsidR="002244A7">
        <w:rPr>
          <w:rFonts w:ascii="Arial" w:hAnsi="Arial" w:cs="Arial"/>
          <w:sz w:val="22"/>
        </w:rPr>
        <w:t xml:space="preserve">August </w:t>
      </w:r>
      <w:r w:rsidR="00486B78">
        <w:rPr>
          <w:rFonts w:ascii="Arial" w:hAnsi="Arial" w:cs="Arial"/>
          <w:sz w:val="22"/>
        </w:rPr>
        <w:t>2018</w:t>
      </w:r>
      <w:r w:rsidR="00893FB7" w:rsidRPr="005553D7">
        <w:rPr>
          <w:rFonts w:ascii="Arial" w:hAnsi="Arial" w:cs="Arial"/>
          <w:sz w:val="22"/>
        </w:rPr>
        <w:t>.</w:t>
      </w:r>
      <w:r w:rsidR="005C20E9" w:rsidRPr="005553D7">
        <w:rPr>
          <w:rFonts w:ascii="Arial" w:hAnsi="Arial" w:cs="Arial"/>
          <w:sz w:val="22"/>
        </w:rPr>
        <w:t xml:space="preserve"> </w:t>
      </w:r>
    </w:p>
    <w:p w:rsidR="005553D7" w:rsidRPr="005553D7" w:rsidRDefault="005553D7" w:rsidP="00E92705">
      <w:pPr>
        <w:ind w:left="360"/>
        <w:rPr>
          <w:rFonts w:ascii="Arial" w:hAnsi="Arial" w:cs="Arial"/>
          <w:b/>
          <w:sz w:val="22"/>
          <w:szCs w:val="22"/>
        </w:rPr>
      </w:pPr>
    </w:p>
    <w:p w:rsidR="00CB5745" w:rsidRDefault="005553D7" w:rsidP="00F06937">
      <w:pPr>
        <w:ind w:left="360"/>
        <w:rPr>
          <w:rFonts w:ascii="Arial" w:hAnsi="Arial" w:cs="Arial"/>
          <w:sz w:val="22"/>
        </w:rPr>
      </w:pPr>
      <w:r w:rsidRPr="008E792F">
        <w:rPr>
          <w:rFonts w:ascii="Arial" w:hAnsi="Arial" w:cs="Arial"/>
          <w:b/>
          <w:sz w:val="22"/>
        </w:rPr>
        <w:t xml:space="preserve">Load </w:t>
      </w:r>
      <w:r w:rsidR="002707AD" w:rsidRPr="008E792F">
        <w:rPr>
          <w:rFonts w:ascii="Arial" w:hAnsi="Arial" w:cs="Arial"/>
          <w:b/>
          <w:sz w:val="22"/>
        </w:rPr>
        <w:t>and</w:t>
      </w:r>
      <w:r w:rsidRPr="008E792F">
        <w:rPr>
          <w:rFonts w:ascii="Arial" w:hAnsi="Arial" w:cs="Arial"/>
          <w:b/>
          <w:sz w:val="22"/>
        </w:rPr>
        <w:t xml:space="preserve"> Equipment </w:t>
      </w:r>
      <w:r w:rsidR="002707AD" w:rsidRPr="008E792F">
        <w:rPr>
          <w:rFonts w:ascii="Arial" w:hAnsi="Arial" w:cs="Arial"/>
          <w:b/>
          <w:sz w:val="22"/>
        </w:rPr>
        <w:t>T</w:t>
      </w:r>
      <w:r w:rsidRPr="008E792F">
        <w:rPr>
          <w:rFonts w:ascii="Arial" w:hAnsi="Arial" w:cs="Arial"/>
          <w:b/>
          <w:sz w:val="22"/>
        </w:rPr>
        <w:t>rend:</w:t>
      </w:r>
      <w:r w:rsidR="00976307">
        <w:rPr>
          <w:rFonts w:ascii="Arial" w:hAnsi="Arial" w:cs="Arial"/>
          <w:sz w:val="22"/>
        </w:rPr>
        <w:t xml:space="preserve"> In</w:t>
      </w:r>
      <w:r w:rsidR="00A94B52">
        <w:rPr>
          <w:rFonts w:ascii="Arial" w:hAnsi="Arial" w:cs="Arial"/>
          <w:sz w:val="22"/>
        </w:rPr>
        <w:t xml:space="preserve"> </w:t>
      </w:r>
      <w:r w:rsidR="00C9158E">
        <w:rPr>
          <w:rFonts w:ascii="Arial" w:hAnsi="Arial" w:cs="Arial"/>
          <w:sz w:val="22"/>
        </w:rPr>
        <w:t>August</w:t>
      </w:r>
      <w:r w:rsidR="00A94B52">
        <w:rPr>
          <w:rFonts w:ascii="Arial" w:hAnsi="Arial" w:cs="Arial"/>
          <w:sz w:val="22"/>
        </w:rPr>
        <w:t>, a</w:t>
      </w:r>
      <w:r w:rsidR="00E87B9A" w:rsidRPr="008E792F">
        <w:rPr>
          <w:rFonts w:ascii="Arial" w:hAnsi="Arial" w:cs="Arial"/>
          <w:sz w:val="22"/>
        </w:rPr>
        <w:t xml:space="preserve">verage daily </w:t>
      </w:r>
      <w:r w:rsidR="00C9158E">
        <w:rPr>
          <w:rFonts w:ascii="Arial" w:hAnsi="Arial" w:cs="Arial"/>
          <w:sz w:val="22"/>
        </w:rPr>
        <w:t>load</w:t>
      </w:r>
      <w:r w:rsidR="00E87B9A" w:rsidRPr="008E792F">
        <w:rPr>
          <w:rFonts w:ascii="Arial" w:hAnsi="Arial" w:cs="Arial"/>
          <w:sz w:val="22"/>
        </w:rPr>
        <w:t xml:space="preserve"> postings </w:t>
      </w:r>
      <w:r w:rsidR="00665886" w:rsidRPr="008E792F">
        <w:rPr>
          <w:rFonts w:ascii="Arial" w:hAnsi="Arial" w:cs="Arial"/>
          <w:sz w:val="22"/>
        </w:rPr>
        <w:t>increased</w:t>
      </w:r>
      <w:r w:rsidR="00E87B9A" w:rsidRPr="008E792F">
        <w:rPr>
          <w:rFonts w:ascii="Arial" w:hAnsi="Arial" w:cs="Arial"/>
          <w:sz w:val="22"/>
        </w:rPr>
        <w:t xml:space="preserve"> </w:t>
      </w:r>
      <w:r w:rsidR="00C9158E">
        <w:rPr>
          <w:rFonts w:ascii="Arial" w:hAnsi="Arial" w:cs="Arial"/>
          <w:sz w:val="22"/>
        </w:rPr>
        <w:t>seven</w:t>
      </w:r>
      <w:r w:rsidR="00F06937" w:rsidRPr="008E792F">
        <w:rPr>
          <w:rFonts w:ascii="Arial" w:hAnsi="Arial" w:cs="Arial"/>
          <w:sz w:val="22"/>
        </w:rPr>
        <w:t xml:space="preserve"> percent</w:t>
      </w:r>
      <w:r w:rsidR="00486B78" w:rsidRPr="008E792F">
        <w:rPr>
          <w:rFonts w:ascii="Arial" w:hAnsi="Arial" w:cs="Arial"/>
          <w:sz w:val="22"/>
        </w:rPr>
        <w:t>,</w:t>
      </w:r>
      <w:r w:rsidR="00E87B9A" w:rsidRPr="008E792F">
        <w:rPr>
          <w:rFonts w:ascii="Arial" w:hAnsi="Arial" w:cs="Arial"/>
          <w:sz w:val="22"/>
        </w:rPr>
        <w:t xml:space="preserve"> while </w:t>
      </w:r>
      <w:r w:rsidR="00C9158E">
        <w:rPr>
          <w:rFonts w:ascii="Arial" w:hAnsi="Arial" w:cs="Arial"/>
          <w:sz w:val="22"/>
        </w:rPr>
        <w:t xml:space="preserve">average </w:t>
      </w:r>
      <w:r w:rsidR="00E87B9A" w:rsidRPr="008E792F">
        <w:rPr>
          <w:rFonts w:ascii="Arial" w:hAnsi="Arial" w:cs="Arial"/>
          <w:sz w:val="22"/>
        </w:rPr>
        <w:t xml:space="preserve">daily </w:t>
      </w:r>
      <w:r w:rsidR="00C9158E">
        <w:rPr>
          <w:rFonts w:ascii="Arial" w:hAnsi="Arial" w:cs="Arial"/>
          <w:sz w:val="22"/>
        </w:rPr>
        <w:t>truck postings slid by under one percent</w:t>
      </w:r>
      <w:r w:rsidR="00665886" w:rsidRPr="008E792F">
        <w:rPr>
          <w:rFonts w:ascii="Arial" w:hAnsi="Arial" w:cs="Arial"/>
          <w:sz w:val="22"/>
        </w:rPr>
        <w:t xml:space="preserve">. </w:t>
      </w:r>
      <w:r w:rsidR="00C9158E">
        <w:rPr>
          <w:rFonts w:ascii="Arial" w:hAnsi="Arial" w:cs="Arial"/>
          <w:sz w:val="22"/>
        </w:rPr>
        <w:t>An overall decrease</w:t>
      </w:r>
      <w:r w:rsidR="00CB5745">
        <w:rPr>
          <w:rFonts w:ascii="Arial" w:hAnsi="Arial" w:cs="Arial"/>
          <w:sz w:val="22"/>
        </w:rPr>
        <w:t xml:space="preserve"> of five percent</w:t>
      </w:r>
      <w:r w:rsidR="00C9158E">
        <w:rPr>
          <w:rFonts w:ascii="Arial" w:hAnsi="Arial" w:cs="Arial"/>
          <w:sz w:val="22"/>
        </w:rPr>
        <w:t xml:space="preserve"> in truck volumes</w:t>
      </w:r>
      <w:r w:rsidR="00BF1458">
        <w:rPr>
          <w:rFonts w:ascii="Arial" w:hAnsi="Arial" w:cs="Arial"/>
          <w:sz w:val="22"/>
        </w:rPr>
        <w:t>, and a slight uptick in load volumes</w:t>
      </w:r>
      <w:r w:rsidR="00C9158E">
        <w:rPr>
          <w:rFonts w:ascii="Arial" w:hAnsi="Arial" w:cs="Arial"/>
          <w:sz w:val="22"/>
        </w:rPr>
        <w:t xml:space="preserve"> </w:t>
      </w:r>
      <w:r w:rsidR="00CB5745">
        <w:rPr>
          <w:rFonts w:ascii="Arial" w:hAnsi="Arial" w:cs="Arial"/>
          <w:sz w:val="22"/>
        </w:rPr>
        <w:t>for the</w:t>
      </w:r>
      <w:r w:rsidR="00C9158E">
        <w:rPr>
          <w:rFonts w:ascii="Arial" w:hAnsi="Arial" w:cs="Arial"/>
          <w:sz w:val="22"/>
        </w:rPr>
        <w:t xml:space="preserve"> month resulted in truckload balance tipping slightly in</w:t>
      </w:r>
      <w:r w:rsidR="00CB5745">
        <w:rPr>
          <w:rFonts w:ascii="Arial" w:hAnsi="Arial" w:cs="Arial"/>
          <w:sz w:val="22"/>
        </w:rPr>
        <w:t xml:space="preserve"> favour of carriers</w:t>
      </w:r>
      <w:r w:rsidR="00BF1458">
        <w:rPr>
          <w:rFonts w:ascii="Arial" w:hAnsi="Arial" w:cs="Arial"/>
          <w:sz w:val="22"/>
        </w:rPr>
        <w:t>.</w:t>
      </w:r>
      <w:r w:rsidR="00CB5745">
        <w:rPr>
          <w:rFonts w:ascii="Arial" w:hAnsi="Arial" w:cs="Arial"/>
          <w:sz w:val="22"/>
        </w:rPr>
        <w:t xml:space="preserve"> </w:t>
      </w:r>
      <w:r w:rsidR="00896CC9">
        <w:rPr>
          <w:rFonts w:ascii="Arial" w:hAnsi="Arial" w:cs="Arial"/>
          <w:sz w:val="22"/>
        </w:rPr>
        <w:br/>
      </w:r>
    </w:p>
    <w:p w:rsidR="00736EF9" w:rsidRDefault="001428BF" w:rsidP="00F06937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Daily volumes in</w:t>
      </w:r>
      <w:r w:rsidR="00CB5745">
        <w:rPr>
          <w:rFonts w:ascii="Arial" w:hAnsi="Arial" w:cs="Arial"/>
          <w:sz w:val="22"/>
        </w:rPr>
        <w:t xml:space="preserve"> the month remained relatively consistent, barring a boost at the end of the month.</w:t>
      </w:r>
      <w:r w:rsidR="00241D0A">
        <w:rPr>
          <w:rFonts w:ascii="Arial" w:hAnsi="Arial" w:cs="Arial"/>
          <w:sz w:val="22"/>
        </w:rPr>
        <w:t xml:space="preserve"> This could have coincided with the long weekend, some last minute</w:t>
      </w:r>
      <w:r w:rsidR="00CB5745">
        <w:rPr>
          <w:rFonts w:ascii="Arial" w:hAnsi="Arial" w:cs="Arial"/>
          <w:sz w:val="22"/>
        </w:rPr>
        <w:t xml:space="preserve"> back-to-school shipments, as well as from emergency </w:t>
      </w:r>
      <w:r w:rsidR="00241D0A">
        <w:rPr>
          <w:rFonts w:ascii="Arial" w:hAnsi="Arial" w:cs="Arial"/>
          <w:sz w:val="22"/>
        </w:rPr>
        <w:t xml:space="preserve">relief </w:t>
      </w:r>
      <w:r w:rsidR="00513BDB">
        <w:rPr>
          <w:rFonts w:ascii="Arial" w:hAnsi="Arial" w:cs="Arial"/>
          <w:sz w:val="22"/>
        </w:rPr>
        <w:t>shipments</w:t>
      </w:r>
      <w:r w:rsidR="00241D0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in preparation </w:t>
      </w:r>
      <w:r w:rsidR="00241D0A">
        <w:rPr>
          <w:rFonts w:ascii="Arial" w:hAnsi="Arial" w:cs="Arial"/>
          <w:sz w:val="22"/>
        </w:rPr>
        <w:t xml:space="preserve">for Hurricane Dorian. </w:t>
      </w:r>
    </w:p>
    <w:p w:rsidR="00736EF9" w:rsidRDefault="00736EF9" w:rsidP="00F06937">
      <w:pPr>
        <w:ind w:left="360"/>
        <w:rPr>
          <w:rFonts w:ascii="Arial" w:hAnsi="Arial" w:cs="Arial"/>
          <w:sz w:val="22"/>
        </w:rPr>
      </w:pPr>
    </w:p>
    <w:p w:rsidR="00A94B52" w:rsidRDefault="00BF1458" w:rsidP="00F06937">
      <w:pPr>
        <w:ind w:left="360"/>
        <w:rPr>
          <w:rFonts w:ascii="Arial" w:hAnsi="Arial" w:cs="Arial"/>
          <w:sz w:val="22"/>
        </w:rPr>
      </w:pPr>
      <w:r w:rsidRPr="00844835">
        <w:rPr>
          <w:rFonts w:ascii="Arial" w:hAnsi="Arial" w:cs="Arial"/>
          <w:sz w:val="22"/>
          <w:szCs w:val="22"/>
        </w:rPr>
        <w:t>H</w:t>
      </w:r>
      <w:r w:rsidR="00513BDB" w:rsidRPr="00844835">
        <w:rPr>
          <w:rFonts w:ascii="Arial" w:hAnsi="Arial" w:cs="Arial"/>
          <w:sz w:val="22"/>
          <w:szCs w:val="22"/>
        </w:rPr>
        <w:t>urricane</w:t>
      </w:r>
      <w:r w:rsidRPr="00844835">
        <w:rPr>
          <w:rFonts w:ascii="Arial" w:hAnsi="Arial" w:cs="Arial"/>
          <w:sz w:val="22"/>
          <w:szCs w:val="22"/>
        </w:rPr>
        <w:t>-related</w:t>
      </w:r>
      <w:r w:rsidR="00513BDB" w:rsidRPr="00844835">
        <w:rPr>
          <w:rFonts w:ascii="Arial" w:hAnsi="Arial" w:cs="Arial"/>
          <w:sz w:val="22"/>
          <w:szCs w:val="22"/>
        </w:rPr>
        <w:t xml:space="preserve"> a</w:t>
      </w:r>
      <w:r w:rsidR="00513BDB" w:rsidRPr="00385F54">
        <w:rPr>
          <w:rFonts w:ascii="Arial" w:hAnsi="Arial" w:cs="Arial"/>
          <w:sz w:val="22"/>
          <w:szCs w:val="22"/>
        </w:rPr>
        <w:t xml:space="preserve">t-risk markets in Florida </w:t>
      </w:r>
      <w:r w:rsidRPr="00385F54">
        <w:rPr>
          <w:rFonts w:ascii="Arial" w:hAnsi="Arial" w:cs="Arial"/>
          <w:sz w:val="22"/>
          <w:szCs w:val="22"/>
        </w:rPr>
        <w:t xml:space="preserve">and parts of </w:t>
      </w:r>
      <w:r w:rsidR="00513BDB" w:rsidRPr="00385F54">
        <w:rPr>
          <w:rFonts w:ascii="Arial" w:hAnsi="Arial" w:cs="Arial"/>
          <w:sz w:val="22"/>
          <w:szCs w:val="22"/>
        </w:rPr>
        <w:t>Georgia saw average inbound</w:t>
      </w:r>
      <w:r w:rsidR="00513BDB">
        <w:rPr>
          <w:rFonts w:ascii="Arial" w:hAnsi="Arial" w:cs="Arial"/>
          <w:sz w:val="22"/>
        </w:rPr>
        <w:t xml:space="preserve"> load volumes increase 37 percent in the days preceding the </w:t>
      </w:r>
      <w:r>
        <w:rPr>
          <w:rFonts w:ascii="Arial" w:hAnsi="Arial" w:cs="Arial"/>
          <w:sz w:val="22"/>
        </w:rPr>
        <w:t xml:space="preserve">storm </w:t>
      </w:r>
      <w:r w:rsidR="00513BDB">
        <w:rPr>
          <w:rFonts w:ascii="Arial" w:hAnsi="Arial" w:cs="Arial"/>
          <w:sz w:val="22"/>
        </w:rPr>
        <w:t xml:space="preserve">reaching the </w:t>
      </w:r>
      <w:r>
        <w:rPr>
          <w:rFonts w:ascii="Arial" w:hAnsi="Arial" w:cs="Arial"/>
          <w:sz w:val="22"/>
        </w:rPr>
        <w:t>coast of</w:t>
      </w:r>
      <w:r w:rsidR="007E5C30">
        <w:rPr>
          <w:rFonts w:ascii="Arial" w:hAnsi="Arial" w:cs="Arial"/>
          <w:sz w:val="22"/>
        </w:rPr>
        <w:t xml:space="preserve"> the</w:t>
      </w:r>
      <w:r>
        <w:rPr>
          <w:rFonts w:ascii="Arial" w:hAnsi="Arial" w:cs="Arial"/>
          <w:sz w:val="22"/>
        </w:rPr>
        <w:t xml:space="preserve"> </w:t>
      </w:r>
      <w:r w:rsidR="00513BDB"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>nited States</w:t>
      </w:r>
      <w:r w:rsidR="00513BDB">
        <w:rPr>
          <w:rFonts w:ascii="Arial" w:hAnsi="Arial" w:cs="Arial"/>
          <w:sz w:val="22"/>
        </w:rPr>
        <w:t xml:space="preserve">. Average inbound truck volumes dropped eight percent, as carriers </w:t>
      </w:r>
      <w:r w:rsidR="007E5C30">
        <w:rPr>
          <w:rFonts w:ascii="Arial" w:hAnsi="Arial" w:cs="Arial"/>
          <w:sz w:val="22"/>
        </w:rPr>
        <w:t xml:space="preserve">may </w:t>
      </w:r>
      <w:r w:rsidR="00513BDB">
        <w:rPr>
          <w:rFonts w:ascii="Arial" w:hAnsi="Arial" w:cs="Arial"/>
          <w:sz w:val="22"/>
        </w:rPr>
        <w:t>have wanted to avoid positioning equipment in these areas prior to the hurricane.</w:t>
      </w:r>
    </w:p>
    <w:p w:rsidR="00BB73F5" w:rsidRDefault="00BB73F5" w:rsidP="008E792F">
      <w:pPr>
        <w:rPr>
          <w:rFonts w:ascii="Arial" w:hAnsi="Arial" w:cs="Arial"/>
          <w:b/>
          <w:bCs/>
          <w:sz w:val="22"/>
          <w:szCs w:val="22"/>
        </w:rPr>
      </w:pPr>
    </w:p>
    <w:p w:rsidR="00CF4448" w:rsidRPr="0037415F" w:rsidRDefault="00CF4448" w:rsidP="008D2E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sz w:val="22"/>
          <w:szCs w:val="22"/>
        </w:rPr>
      </w:pPr>
      <w:r w:rsidRPr="0037415F">
        <w:rPr>
          <w:rFonts w:ascii="Arial" w:hAnsi="Arial" w:cs="Arial"/>
          <w:b/>
          <w:bCs/>
          <w:sz w:val="22"/>
          <w:szCs w:val="22"/>
        </w:rPr>
        <w:t xml:space="preserve">Cross-Border: </w:t>
      </w:r>
      <w:r w:rsidRPr="0037415F">
        <w:rPr>
          <w:rFonts w:ascii="Arial" w:hAnsi="Arial" w:cs="Arial"/>
          <w:bCs/>
          <w:sz w:val="22"/>
          <w:szCs w:val="22"/>
        </w:rPr>
        <w:t xml:space="preserve">Cross-border load postings accounted for </w:t>
      </w:r>
      <w:r w:rsidR="007E5BE0">
        <w:rPr>
          <w:rFonts w:ascii="Arial" w:hAnsi="Arial" w:cs="Arial"/>
          <w:bCs/>
          <w:sz w:val="22"/>
          <w:szCs w:val="22"/>
        </w:rPr>
        <w:t>6</w:t>
      </w:r>
      <w:r w:rsidR="00736EF9">
        <w:rPr>
          <w:rFonts w:ascii="Arial" w:hAnsi="Arial" w:cs="Arial"/>
          <w:bCs/>
          <w:sz w:val="22"/>
          <w:szCs w:val="22"/>
        </w:rPr>
        <w:t>3</w:t>
      </w:r>
      <w:r w:rsidR="00BC3ADB" w:rsidRPr="0037415F">
        <w:rPr>
          <w:rFonts w:ascii="Arial" w:hAnsi="Arial" w:cs="Arial"/>
          <w:bCs/>
          <w:sz w:val="22"/>
          <w:szCs w:val="22"/>
        </w:rPr>
        <w:t xml:space="preserve"> </w:t>
      </w:r>
      <w:r w:rsidRPr="0037415F">
        <w:rPr>
          <w:rFonts w:ascii="Arial" w:hAnsi="Arial" w:cs="Arial"/>
          <w:bCs/>
          <w:sz w:val="22"/>
          <w:szCs w:val="22"/>
        </w:rPr>
        <w:t>percent of the data submitted by Loadlink’s Canadian-based customers</w:t>
      </w:r>
      <w:r w:rsidR="00FF7195" w:rsidRPr="0037415F">
        <w:rPr>
          <w:rFonts w:ascii="Arial" w:hAnsi="Arial" w:cs="Arial"/>
          <w:bCs/>
          <w:sz w:val="22"/>
          <w:szCs w:val="22"/>
        </w:rPr>
        <w:t>.</w:t>
      </w:r>
    </w:p>
    <w:p w:rsidR="008370BD" w:rsidRPr="0037415F" w:rsidRDefault="008370BD" w:rsidP="008D2E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sz w:val="22"/>
          <w:szCs w:val="22"/>
        </w:rPr>
      </w:pPr>
    </w:p>
    <w:p w:rsidR="008370BD" w:rsidRPr="0037415F" w:rsidRDefault="008370BD" w:rsidP="004165D0">
      <w:pPr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eastAsia="Calibri" w:hAnsi="Arial" w:cs="Arial"/>
          <w:bCs/>
          <w:sz w:val="22"/>
          <w:szCs w:val="22"/>
        </w:rPr>
      </w:pPr>
      <w:r w:rsidRPr="0037415F">
        <w:rPr>
          <w:rFonts w:ascii="Arial" w:eastAsia="Calibri" w:hAnsi="Arial" w:cs="Arial"/>
          <w:b/>
          <w:bCs/>
          <w:sz w:val="22"/>
          <w:szCs w:val="22"/>
        </w:rPr>
        <w:t>Inbound cross</w:t>
      </w:r>
      <w:r w:rsidR="00385F54">
        <w:rPr>
          <w:rFonts w:ascii="Arial" w:eastAsia="Calibri" w:hAnsi="Arial" w:cs="Arial"/>
          <w:b/>
          <w:bCs/>
          <w:sz w:val="22"/>
          <w:szCs w:val="22"/>
        </w:rPr>
        <w:t>-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>border loads</w:t>
      </w:r>
      <w:r w:rsidRPr="0037415F">
        <w:rPr>
          <w:rFonts w:ascii="Arial" w:eastAsia="Calibri" w:hAnsi="Arial" w:cs="Arial"/>
          <w:sz w:val="22"/>
          <w:szCs w:val="22"/>
        </w:rPr>
        <w:t xml:space="preserve"> </w:t>
      </w:r>
      <w:r w:rsidR="00B55D1C" w:rsidRPr="0037415F">
        <w:rPr>
          <w:rFonts w:ascii="Arial" w:hAnsi="Arial" w:cs="Arial"/>
          <w:sz w:val="22"/>
          <w:szCs w:val="22"/>
        </w:rPr>
        <w:t xml:space="preserve">(from the United States to Canada) </w:t>
      </w:r>
      <w:r w:rsidR="003F3219">
        <w:rPr>
          <w:rFonts w:ascii="Arial" w:eastAsia="Calibri" w:hAnsi="Arial" w:cs="Arial"/>
          <w:sz w:val="22"/>
          <w:szCs w:val="22"/>
        </w:rPr>
        <w:t>decreased</w:t>
      </w:r>
      <w:r w:rsidR="00593D07">
        <w:rPr>
          <w:rFonts w:ascii="Arial" w:eastAsia="Calibri" w:hAnsi="Arial" w:cs="Arial"/>
          <w:sz w:val="22"/>
          <w:szCs w:val="22"/>
        </w:rPr>
        <w:t xml:space="preserve"> </w:t>
      </w:r>
      <w:r w:rsidR="00736EF9">
        <w:rPr>
          <w:rFonts w:ascii="Arial" w:eastAsia="Calibri" w:hAnsi="Arial" w:cs="Arial"/>
          <w:sz w:val="22"/>
          <w:szCs w:val="22"/>
        </w:rPr>
        <w:t>26</w:t>
      </w:r>
      <w:r w:rsidR="009A7C2E" w:rsidRPr="0037415F">
        <w:rPr>
          <w:rFonts w:ascii="Arial" w:eastAsia="Calibri" w:hAnsi="Arial" w:cs="Arial"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sz w:val="22"/>
          <w:szCs w:val="22"/>
        </w:rPr>
        <w:t>percent</w:t>
      </w:r>
      <w:r w:rsidR="00B230F0">
        <w:rPr>
          <w:rFonts w:ascii="Arial" w:eastAsia="Calibri" w:hAnsi="Arial" w:cs="Arial"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and 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 xml:space="preserve">outbound loads </w:t>
      </w:r>
      <w:r w:rsidR="00B55D1C" w:rsidRPr="0037415F">
        <w:rPr>
          <w:rFonts w:ascii="Arial" w:hAnsi="Arial" w:cs="Arial"/>
          <w:sz w:val="22"/>
          <w:szCs w:val="22"/>
        </w:rPr>
        <w:t>(from Canada to the U</w:t>
      </w:r>
      <w:r w:rsidR="0023060B">
        <w:rPr>
          <w:rFonts w:ascii="Arial" w:hAnsi="Arial" w:cs="Arial"/>
          <w:sz w:val="22"/>
          <w:szCs w:val="22"/>
        </w:rPr>
        <w:t>.</w:t>
      </w:r>
      <w:r w:rsidR="00B55D1C" w:rsidRPr="0037415F">
        <w:rPr>
          <w:rFonts w:ascii="Arial" w:hAnsi="Arial" w:cs="Arial"/>
          <w:sz w:val="22"/>
          <w:szCs w:val="22"/>
        </w:rPr>
        <w:t>S</w:t>
      </w:r>
      <w:r w:rsidR="0023060B">
        <w:rPr>
          <w:rFonts w:ascii="Arial" w:hAnsi="Arial" w:cs="Arial"/>
          <w:sz w:val="22"/>
          <w:szCs w:val="22"/>
        </w:rPr>
        <w:t>.</w:t>
      </w:r>
      <w:r w:rsidR="00B55D1C" w:rsidRPr="0037415F">
        <w:rPr>
          <w:rFonts w:ascii="Arial" w:hAnsi="Arial" w:cs="Arial"/>
          <w:sz w:val="22"/>
          <w:szCs w:val="22"/>
        </w:rPr>
        <w:t xml:space="preserve">) </w:t>
      </w:r>
      <w:r w:rsidR="000A1DEB">
        <w:rPr>
          <w:rFonts w:ascii="Arial" w:eastAsia="Calibri" w:hAnsi="Arial" w:cs="Arial"/>
          <w:bCs/>
          <w:sz w:val="22"/>
          <w:szCs w:val="22"/>
        </w:rPr>
        <w:t>decreased</w:t>
      </w:r>
      <w:r w:rsidR="00593D07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736EF9">
        <w:rPr>
          <w:rFonts w:ascii="Arial" w:eastAsia="Calibri" w:hAnsi="Arial" w:cs="Arial"/>
          <w:bCs/>
          <w:sz w:val="22"/>
          <w:szCs w:val="22"/>
        </w:rPr>
        <w:t>24</w:t>
      </w:r>
      <w:r w:rsidR="009A7C2E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>percent year-over-year</w:t>
      </w:r>
      <w:r w:rsidR="00F3275E" w:rsidRPr="0037415F">
        <w:rPr>
          <w:rFonts w:ascii="Arial" w:eastAsia="Calibri" w:hAnsi="Arial" w:cs="Arial"/>
          <w:bCs/>
          <w:sz w:val="22"/>
          <w:szCs w:val="22"/>
        </w:rPr>
        <w:t>.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</w:p>
    <w:p w:rsidR="008370BD" w:rsidRPr="0037415F" w:rsidRDefault="008370BD" w:rsidP="004165D0">
      <w:pPr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eastAsia="Calibri" w:hAnsi="Arial" w:cs="Arial"/>
          <w:bCs/>
          <w:sz w:val="22"/>
          <w:szCs w:val="22"/>
        </w:rPr>
      </w:pPr>
      <w:r w:rsidRPr="0037415F">
        <w:rPr>
          <w:rFonts w:ascii="Arial" w:eastAsia="Calibri" w:hAnsi="Arial" w:cs="Arial"/>
          <w:b/>
          <w:bCs/>
          <w:sz w:val="22"/>
          <w:szCs w:val="22"/>
        </w:rPr>
        <w:t>Inbound cross</w:t>
      </w:r>
      <w:r w:rsidR="00385F54">
        <w:rPr>
          <w:rFonts w:ascii="Arial" w:eastAsia="Calibri" w:hAnsi="Arial" w:cs="Arial"/>
          <w:b/>
          <w:bCs/>
          <w:sz w:val="22"/>
          <w:szCs w:val="22"/>
        </w:rPr>
        <w:t>-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>border equipment</w:t>
      </w:r>
      <w:r w:rsidR="000A1DEB">
        <w:rPr>
          <w:rFonts w:ascii="Arial" w:eastAsia="Calibri" w:hAnsi="Arial" w:cs="Arial"/>
          <w:bCs/>
          <w:sz w:val="22"/>
          <w:szCs w:val="22"/>
        </w:rPr>
        <w:t xml:space="preserve"> increased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736EF9">
        <w:rPr>
          <w:rFonts w:ascii="Arial" w:eastAsia="Calibri" w:hAnsi="Arial" w:cs="Arial"/>
          <w:bCs/>
          <w:sz w:val="22"/>
          <w:szCs w:val="22"/>
        </w:rPr>
        <w:t>19</w:t>
      </w:r>
      <w:r w:rsidR="009A7C2E"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percent and 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 xml:space="preserve">outbound equipment </w:t>
      </w:r>
      <w:r w:rsidR="000A1DEB">
        <w:rPr>
          <w:rFonts w:ascii="Arial" w:eastAsia="Calibri" w:hAnsi="Arial" w:cs="Arial"/>
          <w:bCs/>
          <w:sz w:val="22"/>
          <w:szCs w:val="22"/>
        </w:rPr>
        <w:t>increased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736EF9">
        <w:rPr>
          <w:rFonts w:ascii="Arial" w:eastAsia="Calibri" w:hAnsi="Arial" w:cs="Arial"/>
          <w:bCs/>
          <w:sz w:val="22"/>
          <w:szCs w:val="22"/>
        </w:rPr>
        <w:t>16</w:t>
      </w:r>
      <w:r w:rsidR="009A7C2E"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>percent</w:t>
      </w:r>
      <w:r w:rsidR="004D1109">
        <w:rPr>
          <w:rFonts w:ascii="Arial" w:eastAsia="Calibri" w:hAnsi="Arial" w:cs="Arial"/>
          <w:bCs/>
          <w:sz w:val="22"/>
          <w:szCs w:val="22"/>
        </w:rPr>
        <w:t xml:space="preserve"> year-over-year.</w:t>
      </w:r>
    </w:p>
    <w:p w:rsidR="001B06F1" w:rsidRDefault="001B06F1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00B55D1C">
        <w:rPr>
          <w:rFonts w:ascii="Arial" w:hAnsi="Arial" w:cs="Arial"/>
          <w:b/>
          <w:bCs/>
          <w:sz w:val="22"/>
          <w:szCs w:val="22"/>
        </w:rPr>
        <w:t>Cross</w:t>
      </w:r>
      <w:r w:rsidR="00385F54">
        <w:rPr>
          <w:rFonts w:ascii="Arial" w:hAnsi="Arial" w:cs="Arial"/>
          <w:b/>
          <w:bCs/>
          <w:sz w:val="22"/>
          <w:szCs w:val="22"/>
        </w:rPr>
        <w:t>-</w:t>
      </w:r>
      <w:r w:rsidRPr="00B55D1C">
        <w:rPr>
          <w:rFonts w:ascii="Arial" w:hAnsi="Arial" w:cs="Arial"/>
          <w:b/>
          <w:bCs/>
          <w:sz w:val="22"/>
          <w:szCs w:val="22"/>
        </w:rPr>
        <w:t>Border Loads into Canada</w:t>
      </w:r>
      <w:r w:rsidR="00D80E56" w:rsidRPr="00B55D1C">
        <w:rPr>
          <w:rFonts w:ascii="Arial" w:hAnsi="Arial" w:cs="Arial"/>
          <w:b/>
          <w:bCs/>
          <w:sz w:val="22"/>
          <w:szCs w:val="22"/>
        </w:rPr>
        <w:t xml:space="preserve"> b</w:t>
      </w:r>
      <w:r w:rsidRPr="00B55D1C">
        <w:rPr>
          <w:rFonts w:ascii="Arial" w:hAnsi="Arial" w:cs="Arial"/>
          <w:b/>
          <w:bCs/>
          <w:sz w:val="22"/>
          <w:szCs w:val="22"/>
        </w:rPr>
        <w:t xml:space="preserve">y Region of </w:t>
      </w:r>
      <w:r w:rsidRPr="00B230F0">
        <w:rPr>
          <w:rFonts w:ascii="Arial" w:hAnsi="Arial" w:cs="Arial"/>
          <w:b/>
          <w:bCs/>
          <w:sz w:val="22"/>
          <w:szCs w:val="22"/>
        </w:rPr>
        <w:t>Destination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0421C7">
        <w:rPr>
          <w:rFonts w:ascii="Arial" w:hAnsi="Arial" w:cs="Arial"/>
          <w:b/>
          <w:bCs/>
          <w:sz w:val="22"/>
          <w:szCs w:val="22"/>
        </w:rPr>
        <w:t>volume change</w:t>
      </w:r>
      <w:r w:rsidR="00977CF3">
        <w:rPr>
          <w:rFonts w:ascii="Arial" w:hAnsi="Arial" w:cs="Arial"/>
          <w:b/>
          <w:bCs/>
          <w:sz w:val="22"/>
          <w:szCs w:val="22"/>
        </w:rPr>
        <w:t>)</w:t>
      </w:r>
      <w:r w:rsidRPr="00B230F0">
        <w:rPr>
          <w:rFonts w:ascii="Arial" w:hAnsi="Arial" w:cs="Arial"/>
          <w:b/>
          <w:bCs/>
          <w:sz w:val="22"/>
          <w:szCs w:val="22"/>
        </w:rPr>
        <w:t>:</w:t>
      </w:r>
      <w:r w:rsidR="00977CF3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864"/>
      </w:tblGrid>
      <w:tr w:rsidR="00B86D94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:rsidR="00977CF3" w:rsidRPr="008148D3" w:rsidRDefault="00977CF3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421C7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736EF9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7CF3" w:rsidRPr="008148D3" w:rsidRDefault="00937060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977CF3" w:rsidRPr="008148D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B471F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977CF3" w:rsidRPr="008148D3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:rsidR="00977CF3" w:rsidRPr="008148D3" w:rsidRDefault="00977CF3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36EF9">
              <w:rPr>
                <w:rFonts w:ascii="Arial" w:hAnsi="Arial" w:cs="Arial"/>
                <w:bCs/>
                <w:sz w:val="22"/>
                <w:szCs w:val="22"/>
              </w:rPr>
              <w:t>21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7CF3" w:rsidRPr="008148D3" w:rsidRDefault="004A0FF5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0421C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B471F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977CF3" w:rsidRPr="008148D3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:rsidR="00977CF3" w:rsidRPr="008148D3" w:rsidRDefault="00977CF3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F3591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937060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>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7CF3" w:rsidRPr="008148D3" w:rsidRDefault="00937060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0421C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B471F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977CF3" w:rsidRPr="008148D3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:rsidR="00977CF3" w:rsidRPr="008148D3" w:rsidRDefault="00977CF3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37060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7CF3" w:rsidRPr="008148D3" w:rsidRDefault="00937060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6F3591">
              <w:rPr>
                <w:rFonts w:ascii="Arial" w:hAnsi="Arial" w:cs="Arial"/>
                <w:bCs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977CF3" w:rsidRPr="008148D3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:rsidR="00CF4448" w:rsidRPr="00B55D1C" w:rsidRDefault="00CF4448" w:rsidP="008148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00B55D1C">
        <w:rPr>
          <w:rFonts w:ascii="Arial" w:hAnsi="Arial" w:cs="Arial"/>
          <w:b/>
          <w:bCs/>
          <w:sz w:val="22"/>
          <w:szCs w:val="22"/>
        </w:rPr>
        <w:t>Cross</w:t>
      </w:r>
      <w:r w:rsidR="00385F54">
        <w:rPr>
          <w:rFonts w:ascii="Arial" w:hAnsi="Arial" w:cs="Arial"/>
          <w:b/>
          <w:bCs/>
          <w:sz w:val="22"/>
          <w:szCs w:val="22"/>
        </w:rPr>
        <w:softHyphen/>
      </w:r>
      <w:bookmarkStart w:id="0" w:name="_GoBack"/>
      <w:bookmarkEnd w:id="0"/>
      <w:r w:rsidR="00844835">
        <w:rPr>
          <w:rFonts w:ascii="Arial" w:hAnsi="Arial" w:cs="Arial"/>
          <w:b/>
          <w:bCs/>
          <w:sz w:val="22"/>
          <w:szCs w:val="22"/>
        </w:rPr>
        <w:t>-</w:t>
      </w:r>
      <w:r w:rsidRPr="00B55D1C">
        <w:rPr>
          <w:rFonts w:ascii="Arial" w:hAnsi="Arial" w:cs="Arial"/>
          <w:b/>
          <w:bCs/>
          <w:sz w:val="22"/>
          <w:szCs w:val="22"/>
        </w:rPr>
        <w:t>Border Equipment into Canada</w:t>
      </w:r>
      <w:r w:rsidR="00D80E56" w:rsidRPr="00B55D1C">
        <w:rPr>
          <w:rFonts w:ascii="Arial" w:hAnsi="Arial" w:cs="Arial"/>
          <w:b/>
          <w:bCs/>
          <w:sz w:val="22"/>
          <w:szCs w:val="22"/>
        </w:rPr>
        <w:t xml:space="preserve"> b</w:t>
      </w:r>
      <w:r w:rsidRPr="00B55D1C">
        <w:rPr>
          <w:rFonts w:ascii="Arial" w:hAnsi="Arial" w:cs="Arial"/>
          <w:b/>
          <w:bCs/>
          <w:sz w:val="22"/>
          <w:szCs w:val="22"/>
        </w:rPr>
        <w:t xml:space="preserve">y Region of </w:t>
      </w:r>
      <w:r w:rsidRPr="00B230F0">
        <w:rPr>
          <w:rFonts w:ascii="Arial" w:hAnsi="Arial" w:cs="Arial"/>
          <w:b/>
          <w:bCs/>
          <w:sz w:val="22"/>
          <w:szCs w:val="22"/>
        </w:rPr>
        <w:t>Destination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0421C7">
        <w:rPr>
          <w:rFonts w:ascii="Arial" w:hAnsi="Arial" w:cs="Arial"/>
          <w:b/>
          <w:bCs/>
          <w:sz w:val="22"/>
          <w:szCs w:val="22"/>
        </w:rPr>
        <w:t xml:space="preserve">volume </w:t>
      </w:r>
      <w:r w:rsidR="00977CF3">
        <w:rPr>
          <w:rFonts w:ascii="Arial" w:hAnsi="Arial" w:cs="Arial"/>
          <w:b/>
          <w:bCs/>
          <w:sz w:val="22"/>
          <w:szCs w:val="22"/>
        </w:rPr>
        <w:t>change)</w:t>
      </w:r>
      <w:r w:rsidRPr="00B230F0">
        <w:rPr>
          <w:rFonts w:ascii="Arial" w:hAnsi="Arial" w:cs="Arial"/>
          <w:b/>
          <w:bCs/>
          <w:sz w:val="22"/>
          <w:szCs w:val="22"/>
        </w:rPr>
        <w:t>:</w:t>
      </w:r>
      <w:r w:rsidR="00977CF3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864"/>
      </w:tblGrid>
      <w:tr w:rsidR="00977CF3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:rsidR="00977CF3" w:rsidRPr="00CC09B6" w:rsidRDefault="00977CF3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736EF9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7CF3" w:rsidRPr="00CC09B6" w:rsidRDefault="00DB471F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977CF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977CF3" w:rsidRPr="00CC09B6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:rsidR="00977CF3" w:rsidRPr="00CC09B6" w:rsidRDefault="00977CF3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736EF9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7CF3" w:rsidRPr="00CC09B6" w:rsidRDefault="006F3591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+ </w:t>
            </w:r>
            <w:r w:rsidR="00DB471F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977CF3" w:rsidRPr="00CC09B6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:rsidR="00977CF3" w:rsidRPr="00CC09B6" w:rsidRDefault="00977CF3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6F3591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>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7CF3" w:rsidRPr="00CC09B6" w:rsidRDefault="00937060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+ 3</w:t>
            </w:r>
            <w:r w:rsidR="00977CF3" w:rsidRPr="00CC09B6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:rsidR="00977CF3" w:rsidRPr="00CC09B6" w:rsidRDefault="00977CF3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7CF3" w:rsidRPr="00CC09B6" w:rsidRDefault="00DB471F" w:rsidP="00B86D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37060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977CF3" w:rsidRPr="00CC09B6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:rsidR="00CF4448" w:rsidRPr="00934F7B" w:rsidRDefault="00CF4448" w:rsidP="00CF4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:rsidR="00CF4448" w:rsidRPr="00744555" w:rsidRDefault="00CF4448" w:rsidP="003562D1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 w:rsidRPr="00934F7B">
        <w:rPr>
          <w:rFonts w:ascii="Arial" w:hAnsi="Arial" w:cs="Arial"/>
          <w:b/>
          <w:bCs/>
          <w:sz w:val="22"/>
          <w:szCs w:val="22"/>
        </w:rPr>
        <w:t xml:space="preserve">Intra-Canada: </w:t>
      </w:r>
      <w:r w:rsidRPr="00934F7B">
        <w:rPr>
          <w:rFonts w:ascii="Arial" w:hAnsi="Arial" w:cs="Arial"/>
          <w:bCs/>
          <w:sz w:val="22"/>
          <w:szCs w:val="22"/>
        </w:rPr>
        <w:t xml:space="preserve">Postings accounted for </w:t>
      </w:r>
      <w:r w:rsidR="00F51C68">
        <w:rPr>
          <w:rFonts w:ascii="Arial" w:hAnsi="Arial" w:cs="Arial"/>
          <w:bCs/>
          <w:sz w:val="22"/>
          <w:szCs w:val="22"/>
        </w:rPr>
        <w:t>3</w:t>
      </w:r>
      <w:r w:rsidR="00736EF9">
        <w:rPr>
          <w:rFonts w:ascii="Arial" w:hAnsi="Arial" w:cs="Arial"/>
          <w:bCs/>
          <w:sz w:val="22"/>
          <w:szCs w:val="22"/>
        </w:rPr>
        <w:t>5</w:t>
      </w:r>
      <w:r w:rsidR="00090277" w:rsidRPr="00934F7B">
        <w:rPr>
          <w:rFonts w:ascii="Arial" w:hAnsi="Arial" w:cs="Arial"/>
          <w:bCs/>
          <w:sz w:val="22"/>
          <w:szCs w:val="22"/>
        </w:rPr>
        <w:t xml:space="preserve"> </w:t>
      </w:r>
      <w:r w:rsidRPr="00934F7B">
        <w:rPr>
          <w:rFonts w:ascii="Arial" w:hAnsi="Arial" w:cs="Arial"/>
          <w:bCs/>
          <w:sz w:val="22"/>
          <w:szCs w:val="22"/>
        </w:rPr>
        <w:t xml:space="preserve">percent of the data submitted by Loadlink’s Canadian-based </w:t>
      </w:r>
      <w:r w:rsidRPr="00744555">
        <w:rPr>
          <w:rFonts w:ascii="Arial" w:hAnsi="Arial" w:cs="Arial"/>
          <w:bCs/>
          <w:sz w:val="22"/>
          <w:szCs w:val="22"/>
        </w:rPr>
        <w:t>customers</w:t>
      </w:r>
      <w:r w:rsidR="00727EB2" w:rsidRPr="00744555">
        <w:rPr>
          <w:rFonts w:ascii="Arial" w:hAnsi="Arial" w:cs="Arial"/>
          <w:bCs/>
          <w:sz w:val="22"/>
          <w:szCs w:val="22"/>
        </w:rPr>
        <w:t>.</w:t>
      </w:r>
    </w:p>
    <w:p w:rsidR="006F3591" w:rsidRDefault="006F3591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</w:p>
    <w:p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  <w:r w:rsidRPr="00744555">
        <w:rPr>
          <w:rFonts w:ascii="Arial" w:hAnsi="Arial" w:cs="Arial"/>
          <w:b/>
          <w:bCs/>
          <w:sz w:val="22"/>
          <w:szCs w:val="22"/>
        </w:rPr>
        <w:lastRenderedPageBreak/>
        <w:t>Loads within Canada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F51C68">
        <w:rPr>
          <w:rFonts w:ascii="Arial" w:hAnsi="Arial" w:cs="Arial"/>
          <w:b/>
          <w:bCs/>
          <w:sz w:val="22"/>
          <w:szCs w:val="22"/>
        </w:rPr>
        <w:t xml:space="preserve">volume </w:t>
      </w:r>
      <w:r w:rsidR="00977CF3">
        <w:rPr>
          <w:rFonts w:ascii="Arial" w:hAnsi="Arial" w:cs="Arial"/>
          <w:b/>
          <w:bCs/>
          <w:sz w:val="22"/>
          <w:szCs w:val="22"/>
        </w:rPr>
        <w:t>change)</w:t>
      </w:r>
      <w:r w:rsidRPr="00744555">
        <w:rPr>
          <w:rFonts w:ascii="Arial" w:hAnsi="Arial" w:cs="Arial"/>
          <w:b/>
          <w:bCs/>
          <w:sz w:val="22"/>
          <w:szCs w:val="22"/>
        </w:rPr>
        <w:t>:</w:t>
      </w:r>
    </w:p>
    <w:p w:rsidR="00FF5031" w:rsidRPr="00744555" w:rsidRDefault="00FF5031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864"/>
        <w:gridCol w:w="2880"/>
        <w:gridCol w:w="864"/>
      </w:tblGrid>
      <w:tr w:rsidR="00FF5031" w:rsidTr="008148D3">
        <w:tc>
          <w:tcPr>
            <w:tcW w:w="2880" w:type="dxa"/>
          </w:tcPr>
          <w:p w:rsidR="00FF5031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By Region of Origin</w:t>
            </w:r>
          </w:p>
        </w:tc>
        <w:tc>
          <w:tcPr>
            <w:tcW w:w="864" w:type="dxa"/>
          </w:tcPr>
          <w:p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FF5031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By Region of Destination</w:t>
            </w:r>
          </w:p>
        </w:tc>
        <w:tc>
          <w:tcPr>
            <w:tcW w:w="864" w:type="dxa"/>
          </w:tcPr>
          <w:p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F5031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DB471F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031" w:rsidRPr="008148D3" w:rsidRDefault="00DB471F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12338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FF5031" w:rsidRPr="00FF5031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Ontario: </w:t>
            </w:r>
            <w:r w:rsidR="00DB471F">
              <w:rPr>
                <w:rFonts w:ascii="Arial" w:hAnsi="Arial" w:cs="Arial"/>
                <w:bCs/>
                <w:sz w:val="22"/>
                <w:szCs w:val="22"/>
              </w:rPr>
              <w:t>44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031" w:rsidRPr="008148D3" w:rsidRDefault="00912338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F962F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B471F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FF5031" w:rsidRPr="008148D3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F5031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>: 3</w:t>
            </w:r>
            <w:r w:rsidR="00912338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031" w:rsidRPr="008148D3" w:rsidRDefault="00DB471F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F962F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12338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FF5031" w:rsidRPr="008148D3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Western: </w:t>
            </w:r>
            <w:r w:rsidR="00DB471F">
              <w:rPr>
                <w:rFonts w:ascii="Arial" w:hAnsi="Arial" w:cs="Arial"/>
                <w:bCs/>
                <w:sz w:val="22"/>
                <w:szCs w:val="22"/>
              </w:rPr>
              <w:t>29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031" w:rsidRPr="008148D3" w:rsidRDefault="00F962FA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+ </w:t>
            </w:r>
            <w:r w:rsidR="00DB471F"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="00FF5031" w:rsidRPr="008148D3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F5031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 2</w:t>
            </w:r>
            <w:r w:rsidR="00DB471F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031" w:rsidRPr="008148D3" w:rsidRDefault="00DB471F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F962F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FF5031" w:rsidRPr="008148D3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>: 2</w:t>
            </w:r>
            <w:r w:rsidR="00DB471F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031" w:rsidRPr="008148D3" w:rsidRDefault="00DB471F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F962F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14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F5031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6F3591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031" w:rsidRPr="008148D3" w:rsidRDefault="00DB471F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F962FA">
              <w:rPr>
                <w:rFonts w:ascii="Arial" w:hAnsi="Arial" w:cs="Arial"/>
                <w:bCs/>
                <w:sz w:val="22"/>
                <w:szCs w:val="22"/>
              </w:rPr>
              <w:t xml:space="preserve"> 1</w:t>
            </w:r>
            <w:r w:rsidR="00FF5031" w:rsidRPr="00FF5031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912338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5031" w:rsidRPr="008148D3" w:rsidRDefault="00F51C68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="00DB471F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FF5031" w:rsidRPr="00FF5031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:rsidR="00FF5031" w:rsidRPr="00744555" w:rsidRDefault="00FF5031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</w:p>
    <w:p w:rsidR="00DF4795" w:rsidRDefault="00CF4448" w:rsidP="0026690D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  <w:r w:rsidRPr="00744555">
        <w:rPr>
          <w:rFonts w:ascii="Arial" w:hAnsi="Arial" w:cs="Arial"/>
          <w:b/>
          <w:bCs/>
          <w:sz w:val="22"/>
          <w:szCs w:val="22"/>
        </w:rPr>
        <w:t xml:space="preserve">Equipment Breakdown: </w:t>
      </w:r>
      <w:r w:rsidRPr="00744555">
        <w:rPr>
          <w:rFonts w:ascii="Arial" w:hAnsi="Arial" w:cs="Arial"/>
          <w:sz w:val="22"/>
          <w:szCs w:val="22"/>
        </w:rPr>
        <w:t>The top equipment postings</w:t>
      </w:r>
      <w:r w:rsidR="00817A5C" w:rsidRPr="00744555">
        <w:rPr>
          <w:rFonts w:ascii="Arial" w:hAnsi="Arial" w:cs="Arial"/>
          <w:sz w:val="22"/>
          <w:szCs w:val="22"/>
        </w:rPr>
        <w:t xml:space="preserve"> </w:t>
      </w:r>
      <w:r w:rsidR="00504AF4" w:rsidRPr="00744555">
        <w:rPr>
          <w:rFonts w:ascii="Arial" w:hAnsi="Arial" w:cs="Arial"/>
          <w:sz w:val="22"/>
          <w:szCs w:val="22"/>
        </w:rPr>
        <w:t>were</w:t>
      </w:r>
      <w:r w:rsidRPr="00744555">
        <w:rPr>
          <w:rFonts w:ascii="Arial" w:hAnsi="Arial" w:cs="Arial"/>
          <w:b/>
          <w:bCs/>
          <w:sz w:val="22"/>
          <w:szCs w:val="22"/>
        </w:rPr>
        <w:t xml:space="preserve"> </w:t>
      </w:r>
      <w:r w:rsidRPr="00744555">
        <w:rPr>
          <w:rFonts w:ascii="Arial" w:hAnsi="Arial" w:cs="Arial"/>
          <w:bCs/>
          <w:sz w:val="22"/>
          <w:szCs w:val="22"/>
        </w:rPr>
        <w:t xml:space="preserve">Dry Vans </w:t>
      </w:r>
      <w:r w:rsidR="00933A4A" w:rsidRPr="00744555">
        <w:rPr>
          <w:rFonts w:ascii="Arial" w:hAnsi="Arial" w:cs="Arial"/>
          <w:bCs/>
          <w:sz w:val="22"/>
          <w:szCs w:val="22"/>
        </w:rPr>
        <w:t>5</w:t>
      </w:r>
      <w:r w:rsidR="00F962FA">
        <w:rPr>
          <w:rFonts w:ascii="Arial" w:hAnsi="Arial" w:cs="Arial"/>
          <w:bCs/>
          <w:sz w:val="22"/>
          <w:szCs w:val="22"/>
        </w:rPr>
        <w:t>2</w:t>
      </w:r>
      <w:r w:rsidR="00933A4A" w:rsidRPr="00744555">
        <w:rPr>
          <w:rFonts w:ascii="Arial" w:hAnsi="Arial" w:cs="Arial"/>
          <w:bCs/>
          <w:sz w:val="22"/>
          <w:szCs w:val="22"/>
        </w:rPr>
        <w:t xml:space="preserve"> </w:t>
      </w:r>
      <w:r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 xml:space="preserve">, </w:t>
      </w:r>
      <w:r w:rsidRPr="00744555">
        <w:rPr>
          <w:rFonts w:ascii="Arial" w:hAnsi="Arial" w:cs="Arial"/>
          <w:bCs/>
          <w:sz w:val="22"/>
          <w:szCs w:val="22"/>
        </w:rPr>
        <w:t xml:space="preserve">Reefers </w:t>
      </w:r>
      <w:r w:rsidR="00887F9F" w:rsidRPr="00744555">
        <w:rPr>
          <w:rFonts w:ascii="Arial" w:hAnsi="Arial" w:cs="Arial"/>
          <w:bCs/>
          <w:sz w:val="22"/>
          <w:szCs w:val="22"/>
        </w:rPr>
        <w:t>2</w:t>
      </w:r>
      <w:r w:rsidR="00DB471F">
        <w:rPr>
          <w:rFonts w:ascii="Arial" w:eastAsiaTheme="minorEastAsia" w:hAnsi="Arial" w:cs="Arial"/>
          <w:bCs/>
          <w:sz w:val="22"/>
          <w:szCs w:val="22"/>
          <w:lang w:eastAsia="zh-CN"/>
        </w:rPr>
        <w:t>7</w:t>
      </w:r>
      <w:r w:rsidR="00887F9F" w:rsidRPr="00744555">
        <w:rPr>
          <w:rFonts w:ascii="Arial" w:hAnsi="Arial" w:cs="Arial"/>
          <w:bCs/>
          <w:sz w:val="22"/>
          <w:szCs w:val="22"/>
        </w:rPr>
        <w:t xml:space="preserve"> </w:t>
      </w:r>
      <w:r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 xml:space="preserve">, </w:t>
      </w:r>
      <w:r w:rsidRPr="00744555">
        <w:rPr>
          <w:rFonts w:ascii="Arial" w:hAnsi="Arial" w:cs="Arial"/>
          <w:bCs/>
          <w:sz w:val="22"/>
          <w:szCs w:val="22"/>
        </w:rPr>
        <w:t xml:space="preserve">Flatbed </w:t>
      </w:r>
      <w:r w:rsidR="00F962FA">
        <w:rPr>
          <w:rFonts w:ascii="Arial" w:hAnsi="Arial" w:cs="Arial"/>
          <w:bCs/>
          <w:sz w:val="22"/>
          <w:szCs w:val="22"/>
        </w:rPr>
        <w:t>1</w:t>
      </w:r>
      <w:r w:rsidR="00912338">
        <w:rPr>
          <w:rFonts w:ascii="Arial" w:hAnsi="Arial" w:cs="Arial"/>
          <w:bCs/>
          <w:sz w:val="22"/>
          <w:szCs w:val="22"/>
        </w:rPr>
        <w:t>6</w:t>
      </w:r>
      <w:r w:rsidR="00D161FC" w:rsidRPr="00744555">
        <w:rPr>
          <w:rFonts w:ascii="Arial" w:hAnsi="Arial" w:cs="Arial"/>
          <w:bCs/>
          <w:sz w:val="22"/>
          <w:szCs w:val="22"/>
        </w:rPr>
        <w:t xml:space="preserve"> </w:t>
      </w:r>
      <w:r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>, and O</w:t>
      </w:r>
      <w:r w:rsidRPr="00744555">
        <w:rPr>
          <w:rFonts w:ascii="Arial" w:hAnsi="Arial" w:cs="Arial"/>
          <w:bCs/>
          <w:sz w:val="22"/>
          <w:szCs w:val="22"/>
        </w:rPr>
        <w:t xml:space="preserve">ther </w:t>
      </w:r>
      <w:r w:rsidR="00DB471F">
        <w:rPr>
          <w:rFonts w:ascii="Arial" w:hAnsi="Arial" w:cs="Arial"/>
          <w:bCs/>
          <w:sz w:val="22"/>
          <w:szCs w:val="22"/>
        </w:rPr>
        <w:t>5</w:t>
      </w:r>
      <w:r w:rsidR="00887F9F" w:rsidRPr="00744555">
        <w:rPr>
          <w:rFonts w:ascii="Arial" w:hAnsi="Arial" w:cs="Arial"/>
          <w:bCs/>
          <w:sz w:val="22"/>
          <w:szCs w:val="22"/>
        </w:rPr>
        <w:t xml:space="preserve"> </w:t>
      </w:r>
      <w:r w:rsidRPr="00744555">
        <w:rPr>
          <w:rFonts w:ascii="Arial" w:hAnsi="Arial" w:cs="Arial"/>
          <w:bCs/>
          <w:sz w:val="22"/>
          <w:szCs w:val="22"/>
        </w:rPr>
        <w:t>percent</w:t>
      </w:r>
      <w:r w:rsidR="00727EB2" w:rsidRPr="00744555">
        <w:rPr>
          <w:rFonts w:ascii="Arial" w:hAnsi="Arial" w:cs="Arial"/>
          <w:bCs/>
          <w:sz w:val="22"/>
          <w:szCs w:val="22"/>
        </w:rPr>
        <w:t>.</w:t>
      </w:r>
    </w:p>
    <w:p w:rsidR="002A5B41" w:rsidRDefault="002A5B41" w:rsidP="008148D3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:rsidR="00B86D94" w:rsidRDefault="00B86D94" w:rsidP="00855347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:rsidR="00855347" w:rsidRDefault="00855347" w:rsidP="00855347">
      <w:pPr>
        <w:jc w:val="center"/>
      </w:pP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TransCore Canadian Spot Market Freight Index 20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1</w:t>
      </w:r>
      <w:r w:rsidR="00977CF3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3 </w:t>
      </w: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-</w:t>
      </w:r>
      <w:r w:rsidR="00977CF3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</w:t>
      </w: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201</w:t>
      </w:r>
      <w:r w:rsidR="00977CF3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9</w:t>
      </w:r>
    </w:p>
    <w:tbl>
      <w:tblPr>
        <w:tblW w:w="7829" w:type="dxa"/>
        <w:jc w:val="center"/>
        <w:tblLayout w:type="fixed"/>
        <w:tblLook w:val="04A0" w:firstRow="1" w:lastRow="0" w:firstColumn="1" w:lastColumn="0" w:noHBand="0" w:noVBand="1"/>
      </w:tblPr>
      <w:tblGrid>
        <w:gridCol w:w="743"/>
        <w:gridCol w:w="743"/>
        <w:gridCol w:w="743"/>
        <w:gridCol w:w="743"/>
        <w:gridCol w:w="743"/>
        <w:gridCol w:w="743"/>
        <w:gridCol w:w="743"/>
        <w:gridCol w:w="743"/>
        <w:gridCol w:w="942"/>
        <w:gridCol w:w="943"/>
      </w:tblGrid>
      <w:tr w:rsidR="003305C4" w:rsidRPr="00FA3821" w:rsidTr="008148D3">
        <w:trPr>
          <w:trHeight w:val="10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05C4" w:rsidRPr="00057861" w:rsidRDefault="003305C4" w:rsidP="007F14B6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05C4" w:rsidRPr="001E767F" w:rsidRDefault="003305C4" w:rsidP="007F14B6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05C4" w:rsidRPr="001E767F" w:rsidRDefault="003305C4" w:rsidP="007F14B6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05C4" w:rsidRPr="001E767F" w:rsidRDefault="003305C4" w:rsidP="007F14B6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05C4" w:rsidRPr="001E767F" w:rsidRDefault="003305C4" w:rsidP="007F14B6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305C4" w:rsidRPr="001E767F" w:rsidRDefault="003305C4" w:rsidP="007F14B6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305C4" w:rsidRPr="001E767F" w:rsidRDefault="003305C4" w:rsidP="007F14B6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305C4" w:rsidRPr="00C075FB" w:rsidRDefault="003305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05C4" w:rsidRPr="00C075FB" w:rsidRDefault="003305C4" w:rsidP="007F14B6">
            <w:pPr>
              <w:jc w:val="center"/>
              <w:rPr>
                <w:rFonts w:asciiTheme="minorHAnsi" w:hAnsiTheme="minorHAnsi"/>
              </w:rPr>
            </w:pPr>
            <w:r w:rsidRPr="00C075FB">
              <w:rPr>
                <w:rFonts w:asciiTheme="minorHAnsi" w:hAnsiTheme="minorHAnsi"/>
                <w:sz w:val="22"/>
                <w:szCs w:val="22"/>
              </w:rPr>
              <w:t>Percent Change Y-O-Y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05C4" w:rsidRPr="003562D1" w:rsidRDefault="003305C4" w:rsidP="007F14B6">
            <w:pPr>
              <w:jc w:val="center"/>
              <w:rPr>
                <w:rFonts w:asciiTheme="minorHAnsi" w:hAnsiTheme="minorHAnsi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Percent Change M-O-M</w:t>
            </w:r>
          </w:p>
        </w:tc>
      </w:tr>
      <w:tr w:rsidR="003305C4" w:rsidRPr="00744555" w:rsidTr="008148D3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C4" w:rsidRPr="00057861" w:rsidRDefault="003305C4" w:rsidP="0026690D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5C4" w:rsidRPr="00744555" w:rsidRDefault="003305C4" w:rsidP="007F14B6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C4" w:rsidRPr="00744555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C4" w:rsidRPr="00744555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C4" w:rsidRPr="00744555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-43</w:t>
            </w: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C4" w:rsidRPr="00744555" w:rsidRDefault="003305C4" w:rsidP="007F14B6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31</w:t>
            </w: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%</w:t>
            </w:r>
          </w:p>
        </w:tc>
      </w:tr>
      <w:tr w:rsidR="003305C4" w:rsidRPr="00744555" w:rsidTr="000221BB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Feb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EA74F9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44555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  <w:lang w:eastAsia="zh-CN"/>
              </w:rPr>
              <w:t>468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5C4" w:rsidRPr="000221BB" w:rsidRDefault="000221BB" w:rsidP="002D2B64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221BB">
              <w:rPr>
                <w:rFonts w:asciiTheme="minorHAnsi" w:hAnsiTheme="minorHAns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05C4" w:rsidRPr="00744555" w:rsidRDefault="000221BB" w:rsidP="002D2B64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-35%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05C4" w:rsidRPr="00744555" w:rsidRDefault="000221BB" w:rsidP="002D2B64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4%</w:t>
            </w:r>
          </w:p>
        </w:tc>
      </w:tr>
      <w:tr w:rsidR="003305C4" w:rsidRPr="00744555" w:rsidTr="008E792F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8B53AD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-43%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-7%</w:t>
            </w:r>
          </w:p>
        </w:tc>
      </w:tr>
      <w:tr w:rsidR="003305C4" w:rsidRPr="00744555" w:rsidTr="008E792F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Apr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941A92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-41%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-17%</w:t>
            </w:r>
          </w:p>
        </w:tc>
      </w:tr>
      <w:tr w:rsidR="003305C4" w:rsidRPr="00744555" w:rsidTr="00F962FA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May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701653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5C4" w:rsidRDefault="00F962F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05C4" w:rsidRPr="00744555" w:rsidRDefault="00F962F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-35%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05C4" w:rsidRPr="00744555" w:rsidRDefault="00F962F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12%</w:t>
            </w:r>
          </w:p>
        </w:tc>
      </w:tr>
      <w:tr w:rsidR="003305C4" w:rsidRPr="00744555" w:rsidTr="00A35553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465EDF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Default="00912338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912338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-39%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912338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-7%</w:t>
            </w:r>
          </w:p>
        </w:tc>
      </w:tr>
      <w:tr w:rsidR="003305C4" w:rsidRPr="00FA3821" w:rsidTr="00A35553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465EDF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DA6A4A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0A6FC2" w:rsidRDefault="003305C4" w:rsidP="003305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312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Default="00912338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0A6FC2" w:rsidRDefault="00912338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-28%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0A6FC2" w:rsidRDefault="00912338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-9%</w:t>
            </w:r>
          </w:p>
        </w:tc>
      </w:tr>
      <w:tr w:rsidR="003305C4" w:rsidRPr="00FA3821" w:rsidTr="0003210F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Aug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465EDF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FD3691" w:rsidRDefault="003305C4" w:rsidP="003305C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653854" w:rsidRDefault="003305C4" w:rsidP="003305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297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Default="00DB471F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653854" w:rsidRDefault="00DB471F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-23%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653854" w:rsidRDefault="00DB471F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</w:p>
        </w:tc>
      </w:tr>
      <w:tr w:rsidR="003305C4" w:rsidRPr="00FA3821" w:rsidTr="002D2B64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Sep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465EDF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05C4" w:rsidRPr="00C00BFC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2A2F15" w:rsidRDefault="003305C4" w:rsidP="003305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252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5C4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05C4" w:rsidRPr="002A2F15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05C4" w:rsidRPr="002A2F15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05C4" w:rsidRPr="00FA3821" w:rsidTr="002D2B64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Oct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465EDF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E6CC9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0208BB" w:rsidRDefault="003305C4" w:rsidP="003305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257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5C4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05C4" w:rsidRPr="000208BB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05C4" w:rsidRPr="000208BB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05C4" w:rsidRPr="00FA3821" w:rsidTr="002D2B64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Nov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465EDF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5653B4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E46516" w:rsidRDefault="003305C4" w:rsidP="003305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246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5C4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05C4" w:rsidRPr="00E46516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05C4" w:rsidRPr="00E46516" w:rsidRDefault="003305C4" w:rsidP="002D2B6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05C4" w:rsidRPr="00FA3821" w:rsidTr="002D2B64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Dec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C4" w:rsidRPr="00465EDF" w:rsidRDefault="003305C4" w:rsidP="003305C4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05164" w:rsidRDefault="003305C4" w:rsidP="003305C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705164" w:rsidRDefault="003305C4" w:rsidP="003305C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225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5C4" w:rsidRPr="00C075FB" w:rsidRDefault="003305C4" w:rsidP="002D2B6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05C4" w:rsidRPr="00C075FB" w:rsidRDefault="003305C4" w:rsidP="002D2B6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05C4" w:rsidRPr="00C075FB" w:rsidRDefault="003305C4" w:rsidP="002D2B6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CF4448" w:rsidRDefault="00CF4448" w:rsidP="00CF4448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:rsidR="00B81458" w:rsidRDefault="00B81458" w:rsidP="00CF4448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:rsidR="00B22511" w:rsidRDefault="00CF3C51" w:rsidP="00465EDF">
      <w:pPr>
        <w:jc w:val="center"/>
      </w:pPr>
      <w:r>
        <w:rPr>
          <w:noProof/>
          <w:lang w:eastAsia="zh-CN"/>
        </w:rPr>
        <w:lastRenderedPageBreak/>
        <w:drawing>
          <wp:inline distT="0" distB="0" distL="0" distR="0" wp14:anchorId="60105468">
            <wp:extent cx="5206365" cy="39808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398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005" w:rsidRDefault="00B22511" w:rsidP="00B22511">
      <w:pPr>
        <w:jc w:val="center"/>
      </w:pPr>
      <w:r>
        <w:br w:type="page"/>
      </w:r>
    </w:p>
    <w:p w:rsidR="00B22511" w:rsidRDefault="00B22511" w:rsidP="00B22511">
      <w:pPr>
        <w:jc w:val="center"/>
      </w:pP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lastRenderedPageBreak/>
        <w:t xml:space="preserve">TransCore Canadian Spot Market 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Truck</w:t>
      </w: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Index 20</w:t>
      </w:r>
      <w:r w:rsidR="007D1372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1</w:t>
      </w:r>
      <w:r w:rsidR="00977CF3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3 </w:t>
      </w: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-</w:t>
      </w:r>
      <w:r w:rsidR="00977CF3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</w:t>
      </w:r>
      <w:r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201</w:t>
      </w:r>
      <w:r w:rsidR="00977CF3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9</w:t>
      </w:r>
    </w:p>
    <w:tbl>
      <w:tblPr>
        <w:tblW w:w="8190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7"/>
        <w:gridCol w:w="767"/>
        <w:gridCol w:w="767"/>
        <w:gridCol w:w="767"/>
        <w:gridCol w:w="1111"/>
        <w:gridCol w:w="943"/>
      </w:tblGrid>
      <w:tr w:rsidR="003305C4" w:rsidRPr="00FA3821" w:rsidTr="008148D3">
        <w:trPr>
          <w:trHeight w:val="102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05C4" w:rsidRPr="00057861" w:rsidRDefault="003305C4" w:rsidP="001E767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05C4" w:rsidRPr="001E767F" w:rsidRDefault="003305C4" w:rsidP="001E767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05C4" w:rsidRPr="001E767F" w:rsidRDefault="003305C4" w:rsidP="001E767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05C4" w:rsidRPr="001E767F" w:rsidRDefault="003305C4" w:rsidP="001E767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05C4" w:rsidRPr="001E767F" w:rsidRDefault="003305C4" w:rsidP="001E767F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305C4" w:rsidRPr="001E767F" w:rsidRDefault="003305C4" w:rsidP="001E767F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305C4" w:rsidRPr="001E767F" w:rsidRDefault="003305C4" w:rsidP="001E767F">
            <w:pPr>
              <w:jc w:val="center"/>
              <w:rPr>
                <w:rFonts w:asciiTheme="minorHAnsi" w:hAnsiTheme="minorHAnsi"/>
                <w:lang w:val="fr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305C4" w:rsidRPr="009164FC" w:rsidRDefault="003305C4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05C4" w:rsidRDefault="003305C4" w:rsidP="001E767F">
            <w:pPr>
              <w:jc w:val="center"/>
              <w:rPr>
                <w:rFonts w:asciiTheme="minorHAnsi" w:hAnsiTheme="minorHAnsi"/>
                <w:lang w:val="fr-CA"/>
              </w:rPr>
            </w:pPr>
            <w:r w:rsidRPr="009164FC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Percent Change </w:t>
            </w:r>
          </w:p>
          <w:p w:rsidR="003305C4" w:rsidRPr="009164FC" w:rsidRDefault="003305C4" w:rsidP="001E767F">
            <w:pPr>
              <w:jc w:val="center"/>
              <w:rPr>
                <w:rFonts w:asciiTheme="minorHAnsi" w:hAnsiTheme="minorHAnsi"/>
                <w:lang w:val="fr-CA"/>
              </w:rPr>
            </w:pPr>
            <w:r w:rsidRPr="009164FC">
              <w:rPr>
                <w:rFonts w:asciiTheme="minorHAnsi" w:hAnsiTheme="minorHAnsi"/>
                <w:sz w:val="22"/>
                <w:szCs w:val="22"/>
                <w:lang w:val="fr-CA"/>
              </w:rPr>
              <w:t>Y-O-Y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05C4" w:rsidRPr="00E46DE6" w:rsidRDefault="003305C4" w:rsidP="001E767F">
            <w:pPr>
              <w:jc w:val="center"/>
              <w:rPr>
                <w:rFonts w:asciiTheme="minorHAnsi" w:hAnsiTheme="minorHAnsi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Percent Change M-O-M</w:t>
            </w:r>
          </w:p>
        </w:tc>
      </w:tr>
      <w:tr w:rsidR="003305C4" w:rsidRPr="003562D1" w:rsidTr="008148D3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5C4" w:rsidRPr="00057861" w:rsidRDefault="003305C4" w:rsidP="001E767F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1E767F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744555" w:rsidRDefault="003305C4" w:rsidP="001E767F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  <w:lang w:val="en-CA" w:eastAsia="en-CA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5C4" w:rsidRPr="00744555" w:rsidRDefault="003305C4" w:rsidP="001E767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C4" w:rsidRPr="00744555" w:rsidRDefault="003305C4" w:rsidP="00B63BC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C4" w:rsidRPr="00744555" w:rsidRDefault="003305C4" w:rsidP="00B63BC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C4" w:rsidRPr="00744555" w:rsidRDefault="003305C4" w:rsidP="00B63B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72</w:t>
            </w:r>
            <w:r w:rsidRPr="00744555"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C4" w:rsidRPr="00744555" w:rsidRDefault="003305C4" w:rsidP="00B63B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</w:t>
            </w:r>
            <w:r w:rsidRPr="00744555"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</w:tc>
      </w:tr>
      <w:tr w:rsidR="003305C4" w:rsidRPr="00FA3821" w:rsidTr="000221BB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Feb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  <w:lang w:eastAsia="zh-CN"/>
              </w:rPr>
              <w:t>90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5C4" w:rsidRPr="00744555" w:rsidRDefault="000221BB" w:rsidP="002D2B64">
            <w:pPr>
              <w:jc w:val="right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149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05C4" w:rsidRPr="00744555" w:rsidRDefault="00302147" w:rsidP="002D2B6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65</w:t>
            </w:r>
            <w:r w:rsidR="000221BB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05C4" w:rsidRPr="00744555" w:rsidRDefault="000221BB" w:rsidP="002D2B6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-12%</w:t>
            </w:r>
          </w:p>
        </w:tc>
      </w:tr>
      <w:tr w:rsidR="003305C4" w:rsidRPr="00FA3821" w:rsidTr="008E792F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72%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21%</w:t>
            </w:r>
          </w:p>
        </w:tc>
      </w:tr>
      <w:tr w:rsidR="003305C4" w:rsidRPr="00FA3821" w:rsidTr="008E792F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Apr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CB0D3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13%</w:t>
            </w:r>
          </w:p>
        </w:tc>
      </w:tr>
      <w:tr w:rsidR="003305C4" w:rsidRPr="009439D8" w:rsidTr="00F962FA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5C4" w:rsidRDefault="00F962F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05C4" w:rsidRPr="00744555" w:rsidRDefault="00F962F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52%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05C4" w:rsidRPr="00744555" w:rsidRDefault="00F962FA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5%</w:t>
            </w:r>
          </w:p>
        </w:tc>
      </w:tr>
      <w:tr w:rsidR="003305C4" w:rsidRPr="00FA3821" w:rsidTr="00A35553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Default="00912338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912338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912338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-13%</w:t>
            </w:r>
          </w:p>
        </w:tc>
      </w:tr>
      <w:tr w:rsidR="003305C4" w:rsidRPr="00FA3821" w:rsidTr="00A35553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Default="00912338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912338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912338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15%</w:t>
            </w:r>
          </w:p>
        </w:tc>
      </w:tr>
      <w:tr w:rsidR="003305C4" w:rsidRPr="00FA3821" w:rsidTr="0003210F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Aug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Default="00DB471F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DB471F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C4" w:rsidRPr="00744555" w:rsidRDefault="00DB471F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-5%</w:t>
            </w:r>
          </w:p>
        </w:tc>
      </w:tr>
      <w:tr w:rsidR="003305C4" w:rsidRPr="00FA3821" w:rsidTr="002D2B64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Sep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5C4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305C4" w:rsidRPr="00FA3821" w:rsidTr="002D2B64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Oct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5C4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305C4" w:rsidRPr="00FA3821" w:rsidTr="002D2B64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Nov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5C4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305C4" w:rsidRPr="00FA3821" w:rsidTr="002D2B64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5C4" w:rsidRPr="00057861" w:rsidRDefault="003305C4" w:rsidP="003305C4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Dec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057861" w:rsidRDefault="003305C4" w:rsidP="003305C4">
            <w:pPr>
              <w:jc w:val="right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5C4" w:rsidRPr="00744555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C4" w:rsidRPr="00744555" w:rsidDel="00E07910" w:rsidRDefault="003305C4" w:rsidP="003305C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305C4" w:rsidRPr="00744555" w:rsidRDefault="003305C4" w:rsidP="002D2B6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B22511" w:rsidRDefault="00B22511" w:rsidP="00B22511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:rsidR="00B22511" w:rsidRDefault="00B22511" w:rsidP="00653854">
      <w:pPr>
        <w:tabs>
          <w:tab w:val="left" w:pos="3870"/>
        </w:tabs>
        <w:jc w:val="center"/>
      </w:pPr>
    </w:p>
    <w:p w:rsidR="00090277" w:rsidRDefault="00CF3C51" w:rsidP="00653854">
      <w:pPr>
        <w:tabs>
          <w:tab w:val="left" w:pos="3870"/>
        </w:tabs>
        <w:jc w:val="center"/>
      </w:pPr>
      <w:r>
        <w:rPr>
          <w:noProof/>
          <w:lang w:eastAsia="zh-CN"/>
        </w:rPr>
        <w:drawing>
          <wp:inline distT="0" distB="0" distL="0" distR="0" wp14:anchorId="0A9EEEEA">
            <wp:extent cx="5202936" cy="424825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936" cy="4248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90277" w:rsidSect="00B22511">
      <w:headerReference w:type="default" r:id="rId10"/>
      <w:pgSz w:w="12240" w:h="15840"/>
      <w:pgMar w:top="1166" w:right="1152" w:bottom="187" w:left="1152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794" w:rsidRDefault="00610794" w:rsidP="00632632">
      <w:r>
        <w:separator/>
      </w:r>
    </w:p>
  </w:endnote>
  <w:endnote w:type="continuationSeparator" w:id="0">
    <w:p w:rsidR="00610794" w:rsidRDefault="00610794" w:rsidP="0063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794" w:rsidRDefault="00610794" w:rsidP="00632632">
      <w:r>
        <w:separator/>
      </w:r>
    </w:p>
  </w:footnote>
  <w:footnote w:type="continuationSeparator" w:id="0">
    <w:p w:rsidR="00610794" w:rsidRDefault="00610794" w:rsidP="0063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94" w:rsidRDefault="00B86D94" w:rsidP="00B22511">
    <w:pPr>
      <w:ind w:left="-450" w:right="-342"/>
      <w:rPr>
        <w:rFonts w:ascii="Arial" w:hAnsi="Arial" w:cs="Arial"/>
        <w:b/>
        <w:color w:val="1F497D" w:themeColor="text2"/>
        <w:sz w:val="28"/>
        <w:szCs w:val="22"/>
      </w:rPr>
    </w:pPr>
    <w:r w:rsidRPr="005E44D6"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3D8DFAD3" wp14:editId="0ADC3417">
          <wp:simplePos x="0" y="0"/>
          <wp:positionH relativeFrom="column">
            <wp:posOffset>4549140</wp:posOffset>
          </wp:positionH>
          <wp:positionV relativeFrom="paragraph">
            <wp:posOffset>94615</wp:posOffset>
          </wp:positionV>
          <wp:extent cx="1783080" cy="703580"/>
          <wp:effectExtent l="0" t="0" r="7620" b="1270"/>
          <wp:wrapSquare wrapText="bothSides"/>
          <wp:docPr id="6" name="Picture 1" descr="TranCore Link Logistics Logo(CMYK)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Core Link Logistics Logo(CMYK)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70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86D94" w:rsidRDefault="00B86D94" w:rsidP="00B22511">
    <w:pPr>
      <w:ind w:left="-450" w:right="234"/>
      <w:rPr>
        <w:rFonts w:ascii="Arial" w:hAnsi="Arial" w:cs="Arial"/>
        <w:b/>
        <w:color w:val="1F497D" w:themeColor="text2"/>
        <w:sz w:val="28"/>
        <w:szCs w:val="22"/>
      </w:rPr>
    </w:pPr>
  </w:p>
  <w:p w:rsidR="00B86D94" w:rsidRDefault="00B86D94" w:rsidP="00A745D8">
    <w:pPr>
      <w:ind w:left="-450" w:right="234"/>
      <w:rPr>
        <w:rFonts w:ascii="Arial" w:hAnsi="Arial" w:cs="Arial"/>
        <w:b/>
        <w:color w:val="1F497D" w:themeColor="text2"/>
        <w:sz w:val="28"/>
        <w:szCs w:val="22"/>
      </w:rPr>
    </w:pPr>
    <w:r w:rsidRPr="00980284">
      <w:rPr>
        <w:rFonts w:ascii="Arial" w:hAnsi="Arial" w:cs="Arial"/>
        <w:b/>
        <w:color w:val="1F497D" w:themeColor="text2"/>
        <w:sz w:val="28"/>
        <w:szCs w:val="22"/>
      </w:rPr>
      <w:t>TransCore’s Canadian Freight Index –</w:t>
    </w:r>
    <w:r>
      <w:rPr>
        <w:rFonts w:ascii="Arial" w:hAnsi="Arial" w:cs="Arial"/>
        <w:b/>
        <w:color w:val="1F497D" w:themeColor="text2"/>
        <w:sz w:val="28"/>
        <w:szCs w:val="22"/>
      </w:rPr>
      <w:t xml:space="preserve"> </w:t>
    </w:r>
    <w:r w:rsidR="002244A7">
      <w:rPr>
        <w:rFonts w:ascii="Arial" w:hAnsi="Arial" w:cs="Arial"/>
        <w:b/>
        <w:color w:val="1F497D" w:themeColor="text2"/>
        <w:sz w:val="28"/>
        <w:szCs w:val="22"/>
      </w:rPr>
      <w:t>August</w:t>
    </w:r>
    <w:r w:rsidR="00A94B52">
      <w:rPr>
        <w:rFonts w:ascii="Arial" w:hAnsi="Arial" w:cs="Arial"/>
        <w:b/>
        <w:color w:val="1F497D" w:themeColor="text2"/>
        <w:sz w:val="28"/>
        <w:szCs w:val="22"/>
      </w:rPr>
      <w:t xml:space="preserve"> </w:t>
    </w:r>
    <w:r>
      <w:rPr>
        <w:rFonts w:ascii="Arial" w:hAnsi="Arial" w:cs="Arial"/>
        <w:b/>
        <w:color w:val="1F497D" w:themeColor="text2"/>
        <w:sz w:val="28"/>
        <w:szCs w:val="22"/>
      </w:rPr>
      <w:t>2019</w:t>
    </w:r>
  </w:p>
  <w:p w:rsidR="00B86D94" w:rsidRPr="00980284" w:rsidRDefault="00B86D94" w:rsidP="00B22511">
    <w:pPr>
      <w:pBdr>
        <w:bottom w:val="single" w:sz="12" w:space="1" w:color="1F497D" w:themeColor="text2"/>
      </w:pBdr>
      <w:ind w:left="-450" w:right="-342"/>
      <w:rPr>
        <w:rFonts w:ascii="Arial" w:hAnsi="Arial" w:cs="Arial"/>
        <w:b/>
        <w:color w:val="1F497D" w:themeColor="text2"/>
        <w:sz w:val="28"/>
        <w:szCs w:val="22"/>
      </w:rPr>
    </w:pPr>
  </w:p>
  <w:p w:rsidR="00B86D94" w:rsidRDefault="00B86D94" w:rsidP="00B22511">
    <w:pPr>
      <w:pStyle w:val="BalloonText"/>
      <w:jc w:val="right"/>
    </w:pPr>
  </w:p>
  <w:p w:rsidR="00B86D94" w:rsidRDefault="00B86D94" w:rsidP="00B22511">
    <w:pPr>
      <w:pStyle w:val="BalloonTex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E1714"/>
    <w:multiLevelType w:val="hybridMultilevel"/>
    <w:tmpl w:val="70DADCE8"/>
    <w:lvl w:ilvl="0" w:tplc="50C8714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E3A9D"/>
    <w:multiLevelType w:val="hybridMultilevel"/>
    <w:tmpl w:val="CCBCD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37F18"/>
    <w:multiLevelType w:val="hybridMultilevel"/>
    <w:tmpl w:val="70E444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C6D44"/>
    <w:multiLevelType w:val="hybridMultilevel"/>
    <w:tmpl w:val="4418BD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E688D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F497D" w:themeColor="text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B6266B"/>
    <w:multiLevelType w:val="hybridMultilevel"/>
    <w:tmpl w:val="CD78FC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B827ED"/>
    <w:multiLevelType w:val="hybridMultilevel"/>
    <w:tmpl w:val="5C826C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A374B"/>
    <w:multiLevelType w:val="hybridMultilevel"/>
    <w:tmpl w:val="CB8EA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7F6E0E"/>
    <w:multiLevelType w:val="hybridMultilevel"/>
    <w:tmpl w:val="C1AA3D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A0C0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6228" w:themeColor="accent3" w:themeShade="8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1"/>
  <w:activeWritingStyle w:appName="MSWord" w:lang="fr-CA" w:vendorID="64" w:dllVersion="131078" w:nlCheck="1" w:checkStyle="0"/>
  <w:proofState w:spelling="clean" w:grammar="clean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48"/>
    <w:rsid w:val="000037BE"/>
    <w:rsid w:val="00005E35"/>
    <w:rsid w:val="000127D7"/>
    <w:rsid w:val="000171B3"/>
    <w:rsid w:val="000208BB"/>
    <w:rsid w:val="000221BB"/>
    <w:rsid w:val="00027482"/>
    <w:rsid w:val="0003208C"/>
    <w:rsid w:val="0003210F"/>
    <w:rsid w:val="00034DBF"/>
    <w:rsid w:val="00037118"/>
    <w:rsid w:val="000421C7"/>
    <w:rsid w:val="0004371B"/>
    <w:rsid w:val="0004598D"/>
    <w:rsid w:val="00053DE0"/>
    <w:rsid w:val="00061658"/>
    <w:rsid w:val="00073E7F"/>
    <w:rsid w:val="00073F2B"/>
    <w:rsid w:val="00076276"/>
    <w:rsid w:val="00090277"/>
    <w:rsid w:val="00090C9C"/>
    <w:rsid w:val="0009158B"/>
    <w:rsid w:val="000A1DEB"/>
    <w:rsid w:val="000A389A"/>
    <w:rsid w:val="000A63D6"/>
    <w:rsid w:val="000A6A0C"/>
    <w:rsid w:val="000A6FC2"/>
    <w:rsid w:val="000B7E97"/>
    <w:rsid w:val="000C0137"/>
    <w:rsid w:val="000C0541"/>
    <w:rsid w:val="000D085A"/>
    <w:rsid w:val="000D395F"/>
    <w:rsid w:val="000D5CF2"/>
    <w:rsid w:val="001044F5"/>
    <w:rsid w:val="00111908"/>
    <w:rsid w:val="00112898"/>
    <w:rsid w:val="00117A11"/>
    <w:rsid w:val="00120980"/>
    <w:rsid w:val="00122075"/>
    <w:rsid w:val="00124820"/>
    <w:rsid w:val="00125488"/>
    <w:rsid w:val="00127C95"/>
    <w:rsid w:val="001428BF"/>
    <w:rsid w:val="001555F7"/>
    <w:rsid w:val="00157165"/>
    <w:rsid w:val="00162E92"/>
    <w:rsid w:val="00165184"/>
    <w:rsid w:val="00167F50"/>
    <w:rsid w:val="001766FE"/>
    <w:rsid w:val="00183216"/>
    <w:rsid w:val="0018408C"/>
    <w:rsid w:val="001933FF"/>
    <w:rsid w:val="0019385D"/>
    <w:rsid w:val="001948C9"/>
    <w:rsid w:val="00196EE4"/>
    <w:rsid w:val="001A077B"/>
    <w:rsid w:val="001A0D23"/>
    <w:rsid w:val="001A1025"/>
    <w:rsid w:val="001A5820"/>
    <w:rsid w:val="001A6E57"/>
    <w:rsid w:val="001A7C84"/>
    <w:rsid w:val="001B06F1"/>
    <w:rsid w:val="001B22CB"/>
    <w:rsid w:val="001B303D"/>
    <w:rsid w:val="001C4F33"/>
    <w:rsid w:val="001C5948"/>
    <w:rsid w:val="001D713A"/>
    <w:rsid w:val="001E1347"/>
    <w:rsid w:val="001E429A"/>
    <w:rsid w:val="001E4E0B"/>
    <w:rsid w:val="001E767F"/>
    <w:rsid w:val="00203D8B"/>
    <w:rsid w:val="00205EC1"/>
    <w:rsid w:val="002078ED"/>
    <w:rsid w:val="00217E8A"/>
    <w:rsid w:val="00223F7B"/>
    <w:rsid w:val="002244A7"/>
    <w:rsid w:val="00224CFC"/>
    <w:rsid w:val="0022589E"/>
    <w:rsid w:val="0023060B"/>
    <w:rsid w:val="002332E1"/>
    <w:rsid w:val="00233F17"/>
    <w:rsid w:val="00235883"/>
    <w:rsid w:val="0024151C"/>
    <w:rsid w:val="00241D0A"/>
    <w:rsid w:val="002437D3"/>
    <w:rsid w:val="00251572"/>
    <w:rsid w:val="002573D2"/>
    <w:rsid w:val="00257B1D"/>
    <w:rsid w:val="0026277C"/>
    <w:rsid w:val="002633BB"/>
    <w:rsid w:val="00265702"/>
    <w:rsid w:val="0026690D"/>
    <w:rsid w:val="0027006A"/>
    <w:rsid w:val="002707AD"/>
    <w:rsid w:val="0027466B"/>
    <w:rsid w:val="00276E96"/>
    <w:rsid w:val="0027774F"/>
    <w:rsid w:val="002828FB"/>
    <w:rsid w:val="00292CCC"/>
    <w:rsid w:val="00295C6F"/>
    <w:rsid w:val="002A2F15"/>
    <w:rsid w:val="002A537D"/>
    <w:rsid w:val="002A5B41"/>
    <w:rsid w:val="002A79A1"/>
    <w:rsid w:val="002B1B51"/>
    <w:rsid w:val="002B37CF"/>
    <w:rsid w:val="002B495F"/>
    <w:rsid w:val="002C4BCC"/>
    <w:rsid w:val="002C538D"/>
    <w:rsid w:val="002D2B64"/>
    <w:rsid w:val="002D34DC"/>
    <w:rsid w:val="002D430B"/>
    <w:rsid w:val="002D4942"/>
    <w:rsid w:val="002D6B20"/>
    <w:rsid w:val="002E0442"/>
    <w:rsid w:val="002E109A"/>
    <w:rsid w:val="002E591B"/>
    <w:rsid w:val="002E5E32"/>
    <w:rsid w:val="002F1B11"/>
    <w:rsid w:val="002F2715"/>
    <w:rsid w:val="002F37F6"/>
    <w:rsid w:val="002F3D0F"/>
    <w:rsid w:val="00301096"/>
    <w:rsid w:val="00302147"/>
    <w:rsid w:val="00304C97"/>
    <w:rsid w:val="00310380"/>
    <w:rsid w:val="00313256"/>
    <w:rsid w:val="003211DF"/>
    <w:rsid w:val="00323E00"/>
    <w:rsid w:val="003305C4"/>
    <w:rsid w:val="00331D74"/>
    <w:rsid w:val="00345770"/>
    <w:rsid w:val="00353315"/>
    <w:rsid w:val="003562D1"/>
    <w:rsid w:val="00362321"/>
    <w:rsid w:val="00367D0F"/>
    <w:rsid w:val="00370B1D"/>
    <w:rsid w:val="003710BB"/>
    <w:rsid w:val="00372709"/>
    <w:rsid w:val="00373A47"/>
    <w:rsid w:val="0037415F"/>
    <w:rsid w:val="00380EE5"/>
    <w:rsid w:val="003832FE"/>
    <w:rsid w:val="00385F54"/>
    <w:rsid w:val="0039138F"/>
    <w:rsid w:val="003920E2"/>
    <w:rsid w:val="003A5A18"/>
    <w:rsid w:val="003A7C2A"/>
    <w:rsid w:val="003A7C60"/>
    <w:rsid w:val="003B3EE0"/>
    <w:rsid w:val="003B4374"/>
    <w:rsid w:val="003C19AE"/>
    <w:rsid w:val="003C2594"/>
    <w:rsid w:val="003C3B3F"/>
    <w:rsid w:val="003C4D73"/>
    <w:rsid w:val="003C6039"/>
    <w:rsid w:val="003D0FA2"/>
    <w:rsid w:val="003E1CD6"/>
    <w:rsid w:val="003E3F7E"/>
    <w:rsid w:val="003E5215"/>
    <w:rsid w:val="003F3219"/>
    <w:rsid w:val="003F3D40"/>
    <w:rsid w:val="003F714E"/>
    <w:rsid w:val="00400A05"/>
    <w:rsid w:val="00404F6C"/>
    <w:rsid w:val="00412B07"/>
    <w:rsid w:val="004140AE"/>
    <w:rsid w:val="00414726"/>
    <w:rsid w:val="00414965"/>
    <w:rsid w:val="004162A0"/>
    <w:rsid w:val="004165D0"/>
    <w:rsid w:val="00416CA2"/>
    <w:rsid w:val="004172A3"/>
    <w:rsid w:val="00420196"/>
    <w:rsid w:val="004204BC"/>
    <w:rsid w:val="00421E8F"/>
    <w:rsid w:val="00424A30"/>
    <w:rsid w:val="00424B65"/>
    <w:rsid w:val="004256B3"/>
    <w:rsid w:val="00427463"/>
    <w:rsid w:val="004300F7"/>
    <w:rsid w:val="0043457B"/>
    <w:rsid w:val="00442A03"/>
    <w:rsid w:val="00444FC6"/>
    <w:rsid w:val="00451236"/>
    <w:rsid w:val="004535F8"/>
    <w:rsid w:val="004544D5"/>
    <w:rsid w:val="00460931"/>
    <w:rsid w:val="00462421"/>
    <w:rsid w:val="00464C6D"/>
    <w:rsid w:val="00464F87"/>
    <w:rsid w:val="00465EDF"/>
    <w:rsid w:val="0047083C"/>
    <w:rsid w:val="00480558"/>
    <w:rsid w:val="0048606E"/>
    <w:rsid w:val="00486B78"/>
    <w:rsid w:val="0048767C"/>
    <w:rsid w:val="00491F73"/>
    <w:rsid w:val="00497D81"/>
    <w:rsid w:val="004A0343"/>
    <w:rsid w:val="004A0FF5"/>
    <w:rsid w:val="004A3B9A"/>
    <w:rsid w:val="004A74C7"/>
    <w:rsid w:val="004B1104"/>
    <w:rsid w:val="004B3950"/>
    <w:rsid w:val="004B3D70"/>
    <w:rsid w:val="004B5B7B"/>
    <w:rsid w:val="004B66C4"/>
    <w:rsid w:val="004B7C1D"/>
    <w:rsid w:val="004C1A31"/>
    <w:rsid w:val="004D0398"/>
    <w:rsid w:val="004D1109"/>
    <w:rsid w:val="004E21E5"/>
    <w:rsid w:val="004E2DE4"/>
    <w:rsid w:val="005019B6"/>
    <w:rsid w:val="00503940"/>
    <w:rsid w:val="00504AF4"/>
    <w:rsid w:val="00510CD4"/>
    <w:rsid w:val="00511D8B"/>
    <w:rsid w:val="00513489"/>
    <w:rsid w:val="00513BDB"/>
    <w:rsid w:val="005147E3"/>
    <w:rsid w:val="0051626C"/>
    <w:rsid w:val="00516BEE"/>
    <w:rsid w:val="005179A3"/>
    <w:rsid w:val="00520B21"/>
    <w:rsid w:val="0052445B"/>
    <w:rsid w:val="00533A35"/>
    <w:rsid w:val="00553FA0"/>
    <w:rsid w:val="00554924"/>
    <w:rsid w:val="005553D7"/>
    <w:rsid w:val="00557CA8"/>
    <w:rsid w:val="005653B4"/>
    <w:rsid w:val="00570D4E"/>
    <w:rsid w:val="00572575"/>
    <w:rsid w:val="005748B9"/>
    <w:rsid w:val="00593D07"/>
    <w:rsid w:val="005A35B4"/>
    <w:rsid w:val="005A4702"/>
    <w:rsid w:val="005B2449"/>
    <w:rsid w:val="005B5E0D"/>
    <w:rsid w:val="005C1F19"/>
    <w:rsid w:val="005C20E9"/>
    <w:rsid w:val="005E0AD8"/>
    <w:rsid w:val="005E38D9"/>
    <w:rsid w:val="005E590B"/>
    <w:rsid w:val="005E60BD"/>
    <w:rsid w:val="005E7B15"/>
    <w:rsid w:val="005F60EE"/>
    <w:rsid w:val="00601969"/>
    <w:rsid w:val="00605A53"/>
    <w:rsid w:val="00607617"/>
    <w:rsid w:val="00610794"/>
    <w:rsid w:val="00623658"/>
    <w:rsid w:val="00626C33"/>
    <w:rsid w:val="00631DA3"/>
    <w:rsid w:val="00632632"/>
    <w:rsid w:val="006333F6"/>
    <w:rsid w:val="00633F78"/>
    <w:rsid w:val="00635F29"/>
    <w:rsid w:val="00653854"/>
    <w:rsid w:val="0065569D"/>
    <w:rsid w:val="00655A73"/>
    <w:rsid w:val="0066380E"/>
    <w:rsid w:val="00663EE3"/>
    <w:rsid w:val="006649C7"/>
    <w:rsid w:val="00665886"/>
    <w:rsid w:val="00670082"/>
    <w:rsid w:val="00674B76"/>
    <w:rsid w:val="00674DCE"/>
    <w:rsid w:val="00683C18"/>
    <w:rsid w:val="0068781D"/>
    <w:rsid w:val="006900D4"/>
    <w:rsid w:val="00690172"/>
    <w:rsid w:val="006936CF"/>
    <w:rsid w:val="00694F3C"/>
    <w:rsid w:val="00696F25"/>
    <w:rsid w:val="006A733A"/>
    <w:rsid w:val="006A787A"/>
    <w:rsid w:val="006A7B4B"/>
    <w:rsid w:val="006C5536"/>
    <w:rsid w:val="006C5DD2"/>
    <w:rsid w:val="006D0BCC"/>
    <w:rsid w:val="006D4956"/>
    <w:rsid w:val="006D5EAE"/>
    <w:rsid w:val="006D77BD"/>
    <w:rsid w:val="006E0CD2"/>
    <w:rsid w:val="006E130C"/>
    <w:rsid w:val="006E6809"/>
    <w:rsid w:val="006E7AC5"/>
    <w:rsid w:val="006F06EE"/>
    <w:rsid w:val="006F325D"/>
    <w:rsid w:val="006F3591"/>
    <w:rsid w:val="006F3ED0"/>
    <w:rsid w:val="006F5060"/>
    <w:rsid w:val="00701653"/>
    <w:rsid w:val="007024AD"/>
    <w:rsid w:val="00705164"/>
    <w:rsid w:val="00715AAE"/>
    <w:rsid w:val="0072361B"/>
    <w:rsid w:val="00727EB2"/>
    <w:rsid w:val="00730E3D"/>
    <w:rsid w:val="00732CB2"/>
    <w:rsid w:val="00735C21"/>
    <w:rsid w:val="00736EF9"/>
    <w:rsid w:val="007425B2"/>
    <w:rsid w:val="00744555"/>
    <w:rsid w:val="007629DC"/>
    <w:rsid w:val="0076335F"/>
    <w:rsid w:val="00767358"/>
    <w:rsid w:val="00770670"/>
    <w:rsid w:val="00787666"/>
    <w:rsid w:val="00792072"/>
    <w:rsid w:val="007A336D"/>
    <w:rsid w:val="007A5DA9"/>
    <w:rsid w:val="007A5DE1"/>
    <w:rsid w:val="007B2174"/>
    <w:rsid w:val="007B21EC"/>
    <w:rsid w:val="007B6464"/>
    <w:rsid w:val="007C5564"/>
    <w:rsid w:val="007D0987"/>
    <w:rsid w:val="007D114C"/>
    <w:rsid w:val="007D1372"/>
    <w:rsid w:val="007D6609"/>
    <w:rsid w:val="007E0F7F"/>
    <w:rsid w:val="007E3169"/>
    <w:rsid w:val="007E3795"/>
    <w:rsid w:val="007E5BE0"/>
    <w:rsid w:val="007E5C30"/>
    <w:rsid w:val="007E5EFE"/>
    <w:rsid w:val="007E6CC9"/>
    <w:rsid w:val="007E705D"/>
    <w:rsid w:val="007F14B6"/>
    <w:rsid w:val="007F3157"/>
    <w:rsid w:val="007F4392"/>
    <w:rsid w:val="008012AF"/>
    <w:rsid w:val="00801FA4"/>
    <w:rsid w:val="0081215E"/>
    <w:rsid w:val="008124F5"/>
    <w:rsid w:val="008148D3"/>
    <w:rsid w:val="00817A5C"/>
    <w:rsid w:val="00820D3C"/>
    <w:rsid w:val="00823AAA"/>
    <w:rsid w:val="00825B6D"/>
    <w:rsid w:val="008270A0"/>
    <w:rsid w:val="00827E0F"/>
    <w:rsid w:val="008336BB"/>
    <w:rsid w:val="0083488A"/>
    <w:rsid w:val="008348C5"/>
    <w:rsid w:val="00835822"/>
    <w:rsid w:val="008370BD"/>
    <w:rsid w:val="008426F0"/>
    <w:rsid w:val="00844835"/>
    <w:rsid w:val="00853FD9"/>
    <w:rsid w:val="00855347"/>
    <w:rsid w:val="008556A4"/>
    <w:rsid w:val="00857810"/>
    <w:rsid w:val="00864FB1"/>
    <w:rsid w:val="0086576D"/>
    <w:rsid w:val="00880754"/>
    <w:rsid w:val="00883162"/>
    <w:rsid w:val="00887F9F"/>
    <w:rsid w:val="008907A2"/>
    <w:rsid w:val="00890B48"/>
    <w:rsid w:val="00892842"/>
    <w:rsid w:val="00893FB7"/>
    <w:rsid w:val="00893FBA"/>
    <w:rsid w:val="00896CC9"/>
    <w:rsid w:val="008A12B2"/>
    <w:rsid w:val="008A19AB"/>
    <w:rsid w:val="008A4E6B"/>
    <w:rsid w:val="008B21BF"/>
    <w:rsid w:val="008B73EE"/>
    <w:rsid w:val="008C26F9"/>
    <w:rsid w:val="008D2EA5"/>
    <w:rsid w:val="008D3B1E"/>
    <w:rsid w:val="008D412F"/>
    <w:rsid w:val="008D6FE9"/>
    <w:rsid w:val="008E0724"/>
    <w:rsid w:val="008E3A3A"/>
    <w:rsid w:val="008E4CF1"/>
    <w:rsid w:val="008E5287"/>
    <w:rsid w:val="008E60AD"/>
    <w:rsid w:val="008E6EE8"/>
    <w:rsid w:val="008E792F"/>
    <w:rsid w:val="008F5322"/>
    <w:rsid w:val="00900751"/>
    <w:rsid w:val="0090471F"/>
    <w:rsid w:val="00905E29"/>
    <w:rsid w:val="00912338"/>
    <w:rsid w:val="009164FC"/>
    <w:rsid w:val="00917005"/>
    <w:rsid w:val="00920CD6"/>
    <w:rsid w:val="009220A5"/>
    <w:rsid w:val="00924E16"/>
    <w:rsid w:val="009274D4"/>
    <w:rsid w:val="00930722"/>
    <w:rsid w:val="009310BF"/>
    <w:rsid w:val="00931B83"/>
    <w:rsid w:val="009334F6"/>
    <w:rsid w:val="00933A4A"/>
    <w:rsid w:val="00933AD0"/>
    <w:rsid w:val="00934516"/>
    <w:rsid w:val="00934A78"/>
    <w:rsid w:val="00934F7B"/>
    <w:rsid w:val="00937060"/>
    <w:rsid w:val="00940E11"/>
    <w:rsid w:val="00945941"/>
    <w:rsid w:val="00945FFC"/>
    <w:rsid w:val="00946B54"/>
    <w:rsid w:val="00951A23"/>
    <w:rsid w:val="00953C19"/>
    <w:rsid w:val="00954FA0"/>
    <w:rsid w:val="00960FC7"/>
    <w:rsid w:val="009622F3"/>
    <w:rsid w:val="0096371B"/>
    <w:rsid w:val="00964190"/>
    <w:rsid w:val="00967297"/>
    <w:rsid w:val="00974A68"/>
    <w:rsid w:val="00976307"/>
    <w:rsid w:val="00977CF3"/>
    <w:rsid w:val="009800B8"/>
    <w:rsid w:val="00980137"/>
    <w:rsid w:val="00983712"/>
    <w:rsid w:val="00992A51"/>
    <w:rsid w:val="00992D2F"/>
    <w:rsid w:val="00995359"/>
    <w:rsid w:val="0099655C"/>
    <w:rsid w:val="009A5311"/>
    <w:rsid w:val="009A6DBE"/>
    <w:rsid w:val="009A7C2E"/>
    <w:rsid w:val="009B07D4"/>
    <w:rsid w:val="009B3288"/>
    <w:rsid w:val="009B5B4D"/>
    <w:rsid w:val="009B7B3B"/>
    <w:rsid w:val="009C4EE4"/>
    <w:rsid w:val="009C6304"/>
    <w:rsid w:val="009C7393"/>
    <w:rsid w:val="009C7ADC"/>
    <w:rsid w:val="009D3FB7"/>
    <w:rsid w:val="009D4ED5"/>
    <w:rsid w:val="009E428A"/>
    <w:rsid w:val="009E60A4"/>
    <w:rsid w:val="009E7BAC"/>
    <w:rsid w:val="009F4291"/>
    <w:rsid w:val="009F5B04"/>
    <w:rsid w:val="009F6B5E"/>
    <w:rsid w:val="00A02140"/>
    <w:rsid w:val="00A05152"/>
    <w:rsid w:val="00A07972"/>
    <w:rsid w:val="00A14EC0"/>
    <w:rsid w:val="00A16159"/>
    <w:rsid w:val="00A260A3"/>
    <w:rsid w:val="00A345A0"/>
    <w:rsid w:val="00A35553"/>
    <w:rsid w:val="00A364BC"/>
    <w:rsid w:val="00A42401"/>
    <w:rsid w:val="00A42667"/>
    <w:rsid w:val="00A45A07"/>
    <w:rsid w:val="00A61E25"/>
    <w:rsid w:val="00A62CFD"/>
    <w:rsid w:val="00A63CAC"/>
    <w:rsid w:val="00A659F8"/>
    <w:rsid w:val="00A666C5"/>
    <w:rsid w:val="00A6740A"/>
    <w:rsid w:val="00A71FFC"/>
    <w:rsid w:val="00A745D8"/>
    <w:rsid w:val="00A75511"/>
    <w:rsid w:val="00A75F56"/>
    <w:rsid w:val="00A76F31"/>
    <w:rsid w:val="00A83310"/>
    <w:rsid w:val="00A86579"/>
    <w:rsid w:val="00A86AC0"/>
    <w:rsid w:val="00A93E62"/>
    <w:rsid w:val="00A94B52"/>
    <w:rsid w:val="00A97DEB"/>
    <w:rsid w:val="00AA360A"/>
    <w:rsid w:val="00AA7459"/>
    <w:rsid w:val="00AA7AEB"/>
    <w:rsid w:val="00AB11BC"/>
    <w:rsid w:val="00AB2480"/>
    <w:rsid w:val="00AB402D"/>
    <w:rsid w:val="00AC25CE"/>
    <w:rsid w:val="00AC2E96"/>
    <w:rsid w:val="00AC7363"/>
    <w:rsid w:val="00AD04EC"/>
    <w:rsid w:val="00AD0AFE"/>
    <w:rsid w:val="00AD3EE2"/>
    <w:rsid w:val="00AD5407"/>
    <w:rsid w:val="00AE4B60"/>
    <w:rsid w:val="00AF09E9"/>
    <w:rsid w:val="00AF4E06"/>
    <w:rsid w:val="00B06491"/>
    <w:rsid w:val="00B0726E"/>
    <w:rsid w:val="00B077FB"/>
    <w:rsid w:val="00B11DEB"/>
    <w:rsid w:val="00B1452D"/>
    <w:rsid w:val="00B1780A"/>
    <w:rsid w:val="00B21E07"/>
    <w:rsid w:val="00B22511"/>
    <w:rsid w:val="00B22CED"/>
    <w:rsid w:val="00B230F0"/>
    <w:rsid w:val="00B25961"/>
    <w:rsid w:val="00B32061"/>
    <w:rsid w:val="00B35BE2"/>
    <w:rsid w:val="00B35ED1"/>
    <w:rsid w:val="00B426B0"/>
    <w:rsid w:val="00B4305E"/>
    <w:rsid w:val="00B47372"/>
    <w:rsid w:val="00B501E9"/>
    <w:rsid w:val="00B52734"/>
    <w:rsid w:val="00B559E8"/>
    <w:rsid w:val="00B55D1C"/>
    <w:rsid w:val="00B567B6"/>
    <w:rsid w:val="00B62C78"/>
    <w:rsid w:val="00B63BCC"/>
    <w:rsid w:val="00B6601E"/>
    <w:rsid w:val="00B81458"/>
    <w:rsid w:val="00B8406A"/>
    <w:rsid w:val="00B84599"/>
    <w:rsid w:val="00B86D94"/>
    <w:rsid w:val="00B93F62"/>
    <w:rsid w:val="00BA063C"/>
    <w:rsid w:val="00BA2993"/>
    <w:rsid w:val="00BA3CA9"/>
    <w:rsid w:val="00BA58D0"/>
    <w:rsid w:val="00BA7C46"/>
    <w:rsid w:val="00BB1C73"/>
    <w:rsid w:val="00BB4500"/>
    <w:rsid w:val="00BB73F5"/>
    <w:rsid w:val="00BC0430"/>
    <w:rsid w:val="00BC3ADB"/>
    <w:rsid w:val="00BC3CBF"/>
    <w:rsid w:val="00BC7180"/>
    <w:rsid w:val="00BD4F0E"/>
    <w:rsid w:val="00BE1837"/>
    <w:rsid w:val="00BE5E8C"/>
    <w:rsid w:val="00BE6056"/>
    <w:rsid w:val="00BF1401"/>
    <w:rsid w:val="00BF1458"/>
    <w:rsid w:val="00BF3D0C"/>
    <w:rsid w:val="00BF4CCB"/>
    <w:rsid w:val="00BF6DC0"/>
    <w:rsid w:val="00BF7BCD"/>
    <w:rsid w:val="00C0053F"/>
    <w:rsid w:val="00C00BFC"/>
    <w:rsid w:val="00C03AF6"/>
    <w:rsid w:val="00C04EC5"/>
    <w:rsid w:val="00C05618"/>
    <w:rsid w:val="00C075FB"/>
    <w:rsid w:val="00C109F6"/>
    <w:rsid w:val="00C132C0"/>
    <w:rsid w:val="00C2428D"/>
    <w:rsid w:val="00C33ED4"/>
    <w:rsid w:val="00C36D3F"/>
    <w:rsid w:val="00C42BBC"/>
    <w:rsid w:val="00C478FE"/>
    <w:rsid w:val="00C47EF1"/>
    <w:rsid w:val="00C53685"/>
    <w:rsid w:val="00C537B2"/>
    <w:rsid w:val="00C53F97"/>
    <w:rsid w:val="00C57E7B"/>
    <w:rsid w:val="00C622C6"/>
    <w:rsid w:val="00C632C3"/>
    <w:rsid w:val="00C72307"/>
    <w:rsid w:val="00C802B4"/>
    <w:rsid w:val="00C85B7D"/>
    <w:rsid w:val="00C9158E"/>
    <w:rsid w:val="00C94FB3"/>
    <w:rsid w:val="00C96587"/>
    <w:rsid w:val="00CA137A"/>
    <w:rsid w:val="00CB0D3A"/>
    <w:rsid w:val="00CB5745"/>
    <w:rsid w:val="00CB7124"/>
    <w:rsid w:val="00CC2C06"/>
    <w:rsid w:val="00CC4853"/>
    <w:rsid w:val="00CC507F"/>
    <w:rsid w:val="00CD0EDD"/>
    <w:rsid w:val="00CD5B7B"/>
    <w:rsid w:val="00CD6389"/>
    <w:rsid w:val="00CD7C99"/>
    <w:rsid w:val="00CE1481"/>
    <w:rsid w:val="00CE2443"/>
    <w:rsid w:val="00CE2C34"/>
    <w:rsid w:val="00CF3C51"/>
    <w:rsid w:val="00CF4448"/>
    <w:rsid w:val="00CF450E"/>
    <w:rsid w:val="00CF453A"/>
    <w:rsid w:val="00CF6E89"/>
    <w:rsid w:val="00D00BC4"/>
    <w:rsid w:val="00D04C78"/>
    <w:rsid w:val="00D15217"/>
    <w:rsid w:val="00D15C00"/>
    <w:rsid w:val="00D161FC"/>
    <w:rsid w:val="00D17D96"/>
    <w:rsid w:val="00D2238E"/>
    <w:rsid w:val="00D238DD"/>
    <w:rsid w:val="00D37D33"/>
    <w:rsid w:val="00D46231"/>
    <w:rsid w:val="00D46F82"/>
    <w:rsid w:val="00D472B2"/>
    <w:rsid w:val="00D506E5"/>
    <w:rsid w:val="00D55E5F"/>
    <w:rsid w:val="00D71C44"/>
    <w:rsid w:val="00D72D61"/>
    <w:rsid w:val="00D803A4"/>
    <w:rsid w:val="00D80E56"/>
    <w:rsid w:val="00D82153"/>
    <w:rsid w:val="00D82A8F"/>
    <w:rsid w:val="00D91E45"/>
    <w:rsid w:val="00D951DE"/>
    <w:rsid w:val="00D96319"/>
    <w:rsid w:val="00DA1F85"/>
    <w:rsid w:val="00DA21B2"/>
    <w:rsid w:val="00DA6A4A"/>
    <w:rsid w:val="00DB410C"/>
    <w:rsid w:val="00DB471F"/>
    <w:rsid w:val="00DB70AF"/>
    <w:rsid w:val="00DB7F3D"/>
    <w:rsid w:val="00DC3B11"/>
    <w:rsid w:val="00DC4F00"/>
    <w:rsid w:val="00DC7150"/>
    <w:rsid w:val="00DD28DA"/>
    <w:rsid w:val="00DD5FB8"/>
    <w:rsid w:val="00DE1B30"/>
    <w:rsid w:val="00DE1E6C"/>
    <w:rsid w:val="00DE6CAD"/>
    <w:rsid w:val="00DE6EAB"/>
    <w:rsid w:val="00DF24BF"/>
    <w:rsid w:val="00DF4226"/>
    <w:rsid w:val="00DF4795"/>
    <w:rsid w:val="00E14AE6"/>
    <w:rsid w:val="00E16C04"/>
    <w:rsid w:val="00E27F98"/>
    <w:rsid w:val="00E309BB"/>
    <w:rsid w:val="00E30B87"/>
    <w:rsid w:val="00E32816"/>
    <w:rsid w:val="00E34662"/>
    <w:rsid w:val="00E40C61"/>
    <w:rsid w:val="00E46516"/>
    <w:rsid w:val="00E467C8"/>
    <w:rsid w:val="00E558EE"/>
    <w:rsid w:val="00E619E3"/>
    <w:rsid w:val="00E648EC"/>
    <w:rsid w:val="00E6755C"/>
    <w:rsid w:val="00E67651"/>
    <w:rsid w:val="00E67BAE"/>
    <w:rsid w:val="00E711DD"/>
    <w:rsid w:val="00E7288A"/>
    <w:rsid w:val="00E7623F"/>
    <w:rsid w:val="00E862C9"/>
    <w:rsid w:val="00E87B9A"/>
    <w:rsid w:val="00E92705"/>
    <w:rsid w:val="00E927B9"/>
    <w:rsid w:val="00EA0052"/>
    <w:rsid w:val="00EA31B7"/>
    <w:rsid w:val="00EA5A50"/>
    <w:rsid w:val="00EA799F"/>
    <w:rsid w:val="00EB2259"/>
    <w:rsid w:val="00EC49F3"/>
    <w:rsid w:val="00EC6A7C"/>
    <w:rsid w:val="00ED02B9"/>
    <w:rsid w:val="00ED0DF1"/>
    <w:rsid w:val="00ED1A90"/>
    <w:rsid w:val="00ED43FF"/>
    <w:rsid w:val="00ED55DE"/>
    <w:rsid w:val="00ED75B6"/>
    <w:rsid w:val="00ED7CBD"/>
    <w:rsid w:val="00EE0F78"/>
    <w:rsid w:val="00EE197A"/>
    <w:rsid w:val="00EF2C68"/>
    <w:rsid w:val="00EF2F55"/>
    <w:rsid w:val="00F01769"/>
    <w:rsid w:val="00F06937"/>
    <w:rsid w:val="00F11951"/>
    <w:rsid w:val="00F13311"/>
    <w:rsid w:val="00F14C52"/>
    <w:rsid w:val="00F15A48"/>
    <w:rsid w:val="00F17DA9"/>
    <w:rsid w:val="00F214E0"/>
    <w:rsid w:val="00F274F0"/>
    <w:rsid w:val="00F27CB5"/>
    <w:rsid w:val="00F3275E"/>
    <w:rsid w:val="00F32B01"/>
    <w:rsid w:val="00F374E2"/>
    <w:rsid w:val="00F41E2A"/>
    <w:rsid w:val="00F4407E"/>
    <w:rsid w:val="00F4463A"/>
    <w:rsid w:val="00F46D6F"/>
    <w:rsid w:val="00F50E3B"/>
    <w:rsid w:val="00F51C68"/>
    <w:rsid w:val="00F571CF"/>
    <w:rsid w:val="00F6395E"/>
    <w:rsid w:val="00F72F06"/>
    <w:rsid w:val="00F74FC1"/>
    <w:rsid w:val="00F75ECE"/>
    <w:rsid w:val="00F90C4C"/>
    <w:rsid w:val="00F91820"/>
    <w:rsid w:val="00F92B1D"/>
    <w:rsid w:val="00F962FA"/>
    <w:rsid w:val="00F96357"/>
    <w:rsid w:val="00F978BD"/>
    <w:rsid w:val="00FA3416"/>
    <w:rsid w:val="00FA64F9"/>
    <w:rsid w:val="00FB69E4"/>
    <w:rsid w:val="00FC0138"/>
    <w:rsid w:val="00FC0899"/>
    <w:rsid w:val="00FD2C26"/>
    <w:rsid w:val="00FD366B"/>
    <w:rsid w:val="00FD3691"/>
    <w:rsid w:val="00FD3BDB"/>
    <w:rsid w:val="00FD6580"/>
    <w:rsid w:val="00FE1C50"/>
    <w:rsid w:val="00FE7DB8"/>
    <w:rsid w:val="00FF1E82"/>
    <w:rsid w:val="00FF28EF"/>
    <w:rsid w:val="00FF2D66"/>
    <w:rsid w:val="00FF4200"/>
    <w:rsid w:val="00FF5031"/>
    <w:rsid w:val="00FF5144"/>
    <w:rsid w:val="00FF577A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3475A9C"/>
  <w15:docId w15:val="{5ABCD289-68C9-4CED-BB9B-39775DB5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44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F7F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7F"/>
    <w:rPr>
      <w:rFonts w:ascii="Tahoma" w:eastAsia="Times New Roman" w:hAnsi="Tahoma" w:cs="Tahoma"/>
      <w:sz w:val="20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2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6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2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3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5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5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9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9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94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Light">
    <w:name w:val="Grid Table Light"/>
    <w:basedOn w:val="TableNormal"/>
    <w:uiPriority w:val="40"/>
    <w:rsid w:val="00FF50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380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5F88B-D6DC-4C82-86E9-6A39D970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Transcore Link Logistics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Campbell-Jones, Karen</dc:creator>
  <cp:lastModifiedBy>Singh, Regina</cp:lastModifiedBy>
  <cp:revision>16</cp:revision>
  <cp:lastPrinted>2015-01-12T14:51:00Z</cp:lastPrinted>
  <dcterms:created xsi:type="dcterms:W3CDTF">2019-08-12T01:53:00Z</dcterms:created>
  <dcterms:modified xsi:type="dcterms:W3CDTF">2019-09-11T20:15:00Z</dcterms:modified>
</cp:coreProperties>
</file>