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2B0C">
        <w:rPr>
          <w:rFonts w:ascii="Arial" w:eastAsia="Calibri" w:hAnsi="Arial" w:cs="Arial"/>
          <w:bCs/>
          <w:sz w:val="22"/>
          <w:szCs w:val="22"/>
        </w:rPr>
        <w:t>decreased</w:t>
      </w:r>
      <w:r w:rsidR="007D2B0C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2B0C">
        <w:rPr>
          <w:rFonts w:ascii="Arial" w:eastAsia="Calibri" w:hAnsi="Arial" w:cs="Arial"/>
          <w:bCs/>
          <w:sz w:val="22"/>
          <w:szCs w:val="22"/>
        </w:rPr>
        <w:t>six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06E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2B0C">
        <w:rPr>
          <w:rFonts w:ascii="Arial" w:eastAsia="Calibri" w:hAnsi="Arial" w:cs="Arial"/>
          <w:bCs/>
          <w:sz w:val="22"/>
          <w:szCs w:val="22"/>
        </w:rPr>
        <w:t>August</w:t>
      </w:r>
      <w:r w:rsidR="00E87B9A">
        <w:rPr>
          <w:rFonts w:ascii="Arial" w:eastAsia="Calibri" w:hAnsi="Arial" w:cs="Arial"/>
          <w:bCs/>
          <w:sz w:val="22"/>
          <w:szCs w:val="22"/>
        </w:rPr>
        <w:t xml:space="preserve"> 2019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2B0C">
        <w:rPr>
          <w:rFonts w:ascii="Arial" w:eastAsia="Calibri" w:hAnsi="Arial" w:cs="Arial"/>
          <w:bCs/>
          <w:sz w:val="22"/>
          <w:szCs w:val="22"/>
        </w:rPr>
        <w:t>15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2B0C">
        <w:rPr>
          <w:rFonts w:ascii="Arial" w:eastAsia="Calibri" w:hAnsi="Arial" w:cs="Arial"/>
          <w:bCs/>
          <w:sz w:val="22"/>
          <w:szCs w:val="22"/>
        </w:rPr>
        <w:t xml:space="preserve">September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:rsidR="00041E98" w:rsidRPr="005553D7" w:rsidRDefault="00041E98" w:rsidP="00041E9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Quarterly </w:t>
      </w: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041E98" w:rsidRPr="00171E86" w:rsidRDefault="00041E98" w:rsidP="00041E98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 w:rsidRPr="00171E86">
        <w:rPr>
          <w:rFonts w:ascii="Arial" w:hAnsi="Arial" w:cs="Arial"/>
          <w:b/>
          <w:sz w:val="22"/>
          <w:szCs w:val="22"/>
        </w:rPr>
        <w:t xml:space="preserve">Freight Volumes: </w:t>
      </w:r>
      <w:r w:rsidRPr="00171E86">
        <w:rPr>
          <w:rFonts w:ascii="Arial" w:hAnsi="Arial" w:cs="Arial"/>
          <w:sz w:val="22"/>
          <w:szCs w:val="22"/>
        </w:rPr>
        <w:t>Load vol</w:t>
      </w:r>
      <w:r w:rsidR="00171E86" w:rsidRPr="00405CF7">
        <w:rPr>
          <w:rFonts w:ascii="Arial" w:hAnsi="Arial" w:cs="Arial"/>
          <w:sz w:val="22"/>
          <w:szCs w:val="22"/>
        </w:rPr>
        <w:t>umes for Q3</w:t>
      </w:r>
      <w:r w:rsidRPr="00171E86">
        <w:rPr>
          <w:rFonts w:ascii="Arial" w:hAnsi="Arial" w:cs="Arial"/>
          <w:sz w:val="22"/>
          <w:szCs w:val="22"/>
        </w:rPr>
        <w:t xml:space="preserve"> 2019 wer</w:t>
      </w:r>
      <w:r w:rsidR="00171E86" w:rsidRPr="00405CF7">
        <w:rPr>
          <w:rFonts w:ascii="Arial" w:hAnsi="Arial" w:cs="Arial"/>
          <w:sz w:val="22"/>
          <w:szCs w:val="22"/>
        </w:rPr>
        <w:t>e down 10 percent compared to Q2 2019, and were down 22</w:t>
      </w:r>
      <w:r w:rsidRPr="00171E86">
        <w:rPr>
          <w:rFonts w:ascii="Arial" w:hAnsi="Arial" w:cs="Arial"/>
          <w:sz w:val="22"/>
          <w:szCs w:val="22"/>
        </w:rPr>
        <w:t xml:space="preserve"> percent compared to the same period last year.</w:t>
      </w:r>
    </w:p>
    <w:p w:rsidR="00041E98" w:rsidRPr="00171E86" w:rsidRDefault="00041E98" w:rsidP="00041E98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 w:rsidRPr="00171E86">
        <w:rPr>
          <w:rFonts w:ascii="Arial" w:hAnsi="Arial" w:cs="Arial"/>
          <w:b/>
          <w:sz w:val="22"/>
          <w:szCs w:val="22"/>
        </w:rPr>
        <w:t xml:space="preserve">Truck Capacity: </w:t>
      </w:r>
      <w:r w:rsidR="00171E86" w:rsidRPr="00405CF7">
        <w:rPr>
          <w:rFonts w:ascii="Arial" w:hAnsi="Arial" w:cs="Arial"/>
          <w:sz w:val="22"/>
          <w:szCs w:val="22"/>
        </w:rPr>
        <w:t>Truck volumes for Q3</w:t>
      </w:r>
      <w:r w:rsidRPr="00171E86">
        <w:rPr>
          <w:rFonts w:ascii="Arial" w:hAnsi="Arial" w:cs="Arial"/>
          <w:sz w:val="22"/>
          <w:szCs w:val="22"/>
        </w:rPr>
        <w:t xml:space="preserve"> 2019 were up</w:t>
      </w:r>
      <w:r w:rsidR="00171E86" w:rsidRPr="00405CF7">
        <w:rPr>
          <w:rFonts w:ascii="Arial" w:hAnsi="Arial" w:cs="Arial"/>
          <w:sz w:val="22"/>
          <w:szCs w:val="22"/>
        </w:rPr>
        <w:t xml:space="preserve"> one percent compared to Q2 2019, and were up 25 percent year-over-year.</w:t>
      </w:r>
      <w:r w:rsidR="00DF0582">
        <w:rPr>
          <w:rFonts w:ascii="Arial" w:hAnsi="Arial" w:cs="Arial"/>
          <w:sz w:val="22"/>
          <w:szCs w:val="22"/>
        </w:rPr>
        <w:t xml:space="preserve"> Month-over-month, truck volumes decreased six percent in September.</w:t>
      </w:r>
    </w:p>
    <w:p w:rsidR="00041E98" w:rsidRDefault="00041E98" w:rsidP="00405CF7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 w:rsidRPr="003C1425">
        <w:rPr>
          <w:rFonts w:ascii="Arial" w:hAnsi="Arial" w:cs="Arial"/>
          <w:b/>
          <w:sz w:val="22"/>
          <w:szCs w:val="22"/>
        </w:rPr>
        <w:t>Truck-to-load ratio:</w:t>
      </w:r>
      <w:r w:rsidRPr="003C1425">
        <w:rPr>
          <w:rFonts w:ascii="Arial" w:hAnsi="Arial" w:cs="Arial"/>
        </w:rPr>
        <w:t xml:space="preserve"> </w:t>
      </w:r>
      <w:r w:rsidR="00511E73">
        <w:rPr>
          <w:rFonts w:ascii="Arial" w:hAnsi="Arial" w:cs="Arial"/>
          <w:sz w:val="22"/>
        </w:rPr>
        <w:t>The ratio</w:t>
      </w:r>
      <w:r w:rsidRPr="003C1425">
        <w:rPr>
          <w:rFonts w:ascii="Arial" w:hAnsi="Arial" w:cs="Arial"/>
          <w:sz w:val="22"/>
        </w:rPr>
        <w:t xml:space="preserve"> </w:t>
      </w:r>
      <w:r w:rsidR="00E55E25" w:rsidRPr="00405CF7">
        <w:rPr>
          <w:rFonts w:ascii="Arial" w:hAnsi="Arial" w:cs="Arial"/>
          <w:sz w:val="22"/>
        </w:rPr>
        <w:t xml:space="preserve">expanded </w:t>
      </w:r>
      <w:r w:rsidR="003C1425" w:rsidRPr="00405CF7">
        <w:rPr>
          <w:rFonts w:ascii="Arial" w:hAnsi="Arial" w:cs="Arial"/>
          <w:sz w:val="22"/>
        </w:rPr>
        <w:t>12 percent to 3.98 from 3.55</w:t>
      </w:r>
      <w:r w:rsidRPr="003C1425">
        <w:rPr>
          <w:rFonts w:ascii="Arial" w:hAnsi="Arial" w:cs="Arial"/>
          <w:sz w:val="22"/>
        </w:rPr>
        <w:t xml:space="preserve"> in Q</w:t>
      </w:r>
      <w:r w:rsidR="003C1425" w:rsidRPr="00405CF7">
        <w:rPr>
          <w:rFonts w:ascii="Arial" w:hAnsi="Arial" w:cs="Arial"/>
          <w:sz w:val="22"/>
        </w:rPr>
        <w:t>2 2019. Year-over-year, the Q3 truck-to-load ratio increased 60 percent from a ratio of 2.48</w:t>
      </w:r>
      <w:r w:rsidRPr="003C1425">
        <w:rPr>
          <w:rFonts w:ascii="Arial" w:hAnsi="Arial" w:cs="Arial"/>
          <w:sz w:val="22"/>
        </w:rPr>
        <w:t xml:space="preserve"> trucks for every one load available in </w:t>
      </w:r>
      <w:r w:rsidR="003C1425" w:rsidRPr="00405CF7">
        <w:rPr>
          <w:rFonts w:ascii="Arial" w:hAnsi="Arial" w:cs="Arial"/>
          <w:sz w:val="22"/>
        </w:rPr>
        <w:t>Q3</w:t>
      </w:r>
      <w:r w:rsidRPr="003C1425">
        <w:rPr>
          <w:rFonts w:ascii="Arial" w:hAnsi="Arial" w:cs="Arial"/>
          <w:sz w:val="22"/>
        </w:rPr>
        <w:t xml:space="preserve"> 2018. </w:t>
      </w:r>
      <w:r w:rsidR="003C1425">
        <w:rPr>
          <w:rFonts w:ascii="Arial" w:hAnsi="Arial" w:cs="Arial"/>
          <w:sz w:val="22"/>
        </w:rPr>
        <w:t>Month-over-month, t</w:t>
      </w:r>
      <w:r w:rsidR="00D42AE3">
        <w:rPr>
          <w:rFonts w:ascii="Arial" w:hAnsi="Arial" w:cs="Arial"/>
          <w:sz w:val="22"/>
        </w:rPr>
        <w:t>he ratio</w:t>
      </w:r>
      <w:r w:rsidR="00D42AE3" w:rsidRPr="005553D7">
        <w:rPr>
          <w:rFonts w:ascii="Arial" w:hAnsi="Arial" w:cs="Arial"/>
          <w:sz w:val="22"/>
        </w:rPr>
        <w:t xml:space="preserve"> </w:t>
      </w:r>
      <w:r w:rsidR="00D42AE3">
        <w:rPr>
          <w:rFonts w:ascii="Arial" w:hAnsi="Arial" w:cs="Arial"/>
          <w:sz w:val="22"/>
        </w:rPr>
        <w:t>increa</w:t>
      </w:r>
      <w:r w:rsidR="003C1425">
        <w:rPr>
          <w:rFonts w:ascii="Arial" w:hAnsi="Arial" w:cs="Arial"/>
          <w:sz w:val="22"/>
        </w:rPr>
        <w:t>sed less than a single percent</w:t>
      </w:r>
      <w:r w:rsidR="00A471F0">
        <w:rPr>
          <w:rFonts w:ascii="Arial" w:hAnsi="Arial" w:cs="Arial"/>
          <w:sz w:val="22"/>
        </w:rPr>
        <w:t>age point</w:t>
      </w:r>
      <w:r w:rsidR="00D42AE3" w:rsidRPr="005553D7">
        <w:rPr>
          <w:rFonts w:ascii="Arial" w:hAnsi="Arial" w:cs="Arial"/>
          <w:sz w:val="22"/>
        </w:rPr>
        <w:t xml:space="preserve"> to </w:t>
      </w:r>
      <w:r w:rsidR="00D42AE3">
        <w:rPr>
          <w:rFonts w:ascii="Arial" w:hAnsi="Arial" w:cs="Arial"/>
          <w:sz w:val="22"/>
        </w:rPr>
        <w:t>3.90</w:t>
      </w:r>
      <w:r w:rsidR="00D42AE3" w:rsidRPr="005553D7">
        <w:rPr>
          <w:rFonts w:ascii="Arial" w:hAnsi="Arial" w:cs="Arial"/>
          <w:sz w:val="22"/>
        </w:rPr>
        <w:t xml:space="preserve"> from </w:t>
      </w:r>
      <w:r w:rsidR="00D42AE3">
        <w:rPr>
          <w:rFonts w:ascii="Arial" w:hAnsi="Arial" w:cs="Arial"/>
          <w:sz w:val="22"/>
        </w:rPr>
        <w:t>3.88</w:t>
      </w:r>
      <w:r w:rsidR="00D42AE3" w:rsidRPr="005553D7">
        <w:rPr>
          <w:rFonts w:ascii="Arial" w:hAnsi="Arial" w:cs="Arial"/>
          <w:sz w:val="22"/>
        </w:rPr>
        <w:t xml:space="preserve"> in </w:t>
      </w:r>
      <w:r w:rsidR="00D42AE3">
        <w:rPr>
          <w:rFonts w:ascii="Arial" w:hAnsi="Arial" w:cs="Arial"/>
          <w:sz w:val="22"/>
        </w:rPr>
        <w:t>August 2019</w:t>
      </w:r>
      <w:r w:rsidR="00D42AE3" w:rsidRPr="005553D7">
        <w:rPr>
          <w:rFonts w:ascii="Arial" w:hAnsi="Arial" w:cs="Arial"/>
          <w:sz w:val="22"/>
        </w:rPr>
        <w:t>.</w:t>
      </w:r>
      <w:r w:rsidR="00D42AE3">
        <w:rPr>
          <w:rFonts w:ascii="Arial" w:hAnsi="Arial" w:cs="Arial"/>
          <w:sz w:val="22"/>
        </w:rPr>
        <w:t xml:space="preserve"> </w:t>
      </w:r>
      <w:r w:rsidR="00D42AE3" w:rsidRPr="005553D7">
        <w:rPr>
          <w:rFonts w:ascii="Arial" w:hAnsi="Arial" w:cs="Arial"/>
          <w:sz w:val="22"/>
        </w:rPr>
        <w:t xml:space="preserve">Year-over-year, </w:t>
      </w:r>
      <w:r w:rsidR="00D42AE3">
        <w:rPr>
          <w:rFonts w:ascii="Arial" w:hAnsi="Arial" w:cs="Arial"/>
          <w:sz w:val="22"/>
        </w:rPr>
        <w:t>September’</w:t>
      </w:r>
      <w:r w:rsidR="00D42AE3" w:rsidRPr="005553D7">
        <w:rPr>
          <w:rFonts w:ascii="Arial" w:hAnsi="Arial" w:cs="Arial"/>
          <w:sz w:val="22"/>
        </w:rPr>
        <w:t xml:space="preserve">s </w:t>
      </w:r>
      <w:r w:rsidR="00D42AE3">
        <w:rPr>
          <w:rFonts w:ascii="Arial" w:hAnsi="Arial" w:cs="Arial"/>
          <w:sz w:val="22"/>
        </w:rPr>
        <w:t>truck-to-load ratio increased</w:t>
      </w:r>
      <w:r w:rsidR="00D42AE3" w:rsidRPr="005553D7">
        <w:rPr>
          <w:rFonts w:ascii="Arial" w:hAnsi="Arial" w:cs="Arial"/>
          <w:sz w:val="22"/>
        </w:rPr>
        <w:t xml:space="preserve"> </w:t>
      </w:r>
      <w:r w:rsidR="00D42AE3">
        <w:rPr>
          <w:rFonts w:ascii="Arial" w:hAnsi="Arial" w:cs="Arial"/>
          <w:sz w:val="22"/>
        </w:rPr>
        <w:t>45</w:t>
      </w:r>
      <w:r w:rsidR="00D42AE3" w:rsidRPr="005553D7">
        <w:rPr>
          <w:rFonts w:ascii="Arial" w:hAnsi="Arial" w:cs="Arial"/>
          <w:sz w:val="22"/>
        </w:rPr>
        <w:t xml:space="preserve"> percent </w:t>
      </w:r>
      <w:r w:rsidR="00D42AE3">
        <w:rPr>
          <w:rFonts w:ascii="Arial" w:hAnsi="Arial" w:cs="Arial"/>
          <w:sz w:val="22"/>
        </w:rPr>
        <w:t>compared to</w:t>
      </w:r>
      <w:r w:rsidR="00D42AE3" w:rsidRPr="005553D7">
        <w:rPr>
          <w:rFonts w:ascii="Arial" w:hAnsi="Arial" w:cs="Arial"/>
          <w:sz w:val="22"/>
        </w:rPr>
        <w:t xml:space="preserve"> </w:t>
      </w:r>
      <w:r w:rsidR="00D42AE3">
        <w:rPr>
          <w:rFonts w:ascii="Arial" w:hAnsi="Arial" w:cs="Arial"/>
          <w:sz w:val="22"/>
        </w:rPr>
        <w:t>2.55</w:t>
      </w:r>
      <w:r w:rsidR="00D42AE3" w:rsidRPr="005553D7">
        <w:rPr>
          <w:rFonts w:ascii="Arial" w:hAnsi="Arial" w:cs="Arial"/>
          <w:sz w:val="22"/>
        </w:rPr>
        <w:t xml:space="preserve"> trucks for every</w:t>
      </w:r>
      <w:r w:rsidR="00D42AE3">
        <w:rPr>
          <w:rFonts w:ascii="Arial" w:hAnsi="Arial" w:cs="Arial"/>
          <w:sz w:val="22"/>
        </w:rPr>
        <w:t xml:space="preserve"> one</w:t>
      </w:r>
      <w:r w:rsidR="00D42AE3" w:rsidRPr="005553D7">
        <w:rPr>
          <w:rFonts w:ascii="Arial" w:hAnsi="Arial" w:cs="Arial"/>
          <w:sz w:val="22"/>
        </w:rPr>
        <w:t xml:space="preserve"> load available</w:t>
      </w:r>
      <w:r w:rsidR="00A471F0">
        <w:rPr>
          <w:rFonts w:ascii="Arial" w:hAnsi="Arial" w:cs="Arial"/>
          <w:sz w:val="22"/>
        </w:rPr>
        <w:t xml:space="preserve"> recorded in September</w:t>
      </w:r>
      <w:r w:rsidR="00D42AE3">
        <w:rPr>
          <w:rFonts w:ascii="Arial" w:hAnsi="Arial" w:cs="Arial"/>
          <w:sz w:val="22"/>
        </w:rPr>
        <w:t xml:space="preserve"> 2018</w:t>
      </w:r>
      <w:r w:rsidR="00D42AE3" w:rsidRPr="005553D7">
        <w:rPr>
          <w:rFonts w:ascii="Arial" w:hAnsi="Arial" w:cs="Arial"/>
          <w:sz w:val="22"/>
        </w:rPr>
        <w:t>.</w:t>
      </w:r>
    </w:p>
    <w:p w:rsidR="005553D7" w:rsidRPr="005553D7" w:rsidRDefault="005553D7" w:rsidP="00405CF7">
      <w:pPr>
        <w:rPr>
          <w:rFonts w:ascii="Arial" w:hAnsi="Arial" w:cs="Arial"/>
          <w:b/>
          <w:sz w:val="22"/>
          <w:szCs w:val="22"/>
        </w:rPr>
      </w:pPr>
    </w:p>
    <w:p w:rsidR="00D42AE3" w:rsidRDefault="005553D7" w:rsidP="008E792F">
      <w:pPr>
        <w:rPr>
          <w:rFonts w:ascii="Arial" w:hAnsi="Arial" w:cs="Arial"/>
          <w:sz w:val="22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="00976307">
        <w:rPr>
          <w:rFonts w:ascii="Arial" w:hAnsi="Arial" w:cs="Arial"/>
          <w:sz w:val="22"/>
        </w:rPr>
        <w:t xml:space="preserve"> In</w:t>
      </w:r>
      <w:r w:rsidR="00A94B52">
        <w:rPr>
          <w:rFonts w:ascii="Arial" w:hAnsi="Arial" w:cs="Arial"/>
          <w:sz w:val="22"/>
        </w:rPr>
        <w:t xml:space="preserve"> </w:t>
      </w:r>
      <w:r w:rsidR="00AF7218">
        <w:rPr>
          <w:rFonts w:ascii="Arial" w:hAnsi="Arial" w:cs="Arial"/>
          <w:sz w:val="22"/>
        </w:rPr>
        <w:t>September</w:t>
      </w:r>
      <w:r w:rsidR="00A94B52">
        <w:rPr>
          <w:rFonts w:ascii="Arial" w:hAnsi="Arial" w:cs="Arial"/>
          <w:sz w:val="22"/>
        </w:rPr>
        <w:t>, a</w:t>
      </w:r>
      <w:r w:rsidR="00E87B9A" w:rsidRPr="008E792F">
        <w:rPr>
          <w:rFonts w:ascii="Arial" w:hAnsi="Arial" w:cs="Arial"/>
          <w:sz w:val="22"/>
        </w:rPr>
        <w:t xml:space="preserve">verage daily </w:t>
      </w:r>
      <w:r w:rsidR="00C9158E">
        <w:rPr>
          <w:rFonts w:ascii="Arial" w:hAnsi="Arial" w:cs="Arial"/>
          <w:sz w:val="22"/>
        </w:rPr>
        <w:t>load</w:t>
      </w:r>
      <w:r w:rsidR="007D2B0C">
        <w:rPr>
          <w:rFonts w:ascii="Arial" w:hAnsi="Arial" w:cs="Arial"/>
          <w:sz w:val="22"/>
        </w:rPr>
        <w:t xml:space="preserve"> and truck</w:t>
      </w:r>
      <w:r w:rsidR="00E87B9A" w:rsidRPr="008E792F">
        <w:rPr>
          <w:rFonts w:ascii="Arial" w:hAnsi="Arial" w:cs="Arial"/>
          <w:sz w:val="22"/>
        </w:rPr>
        <w:t xml:space="preserve"> postings </w:t>
      </w:r>
      <w:r w:rsidR="007D2B0C">
        <w:rPr>
          <w:rFonts w:ascii="Arial" w:hAnsi="Arial" w:cs="Arial"/>
          <w:sz w:val="22"/>
        </w:rPr>
        <w:t xml:space="preserve">both decreased </w:t>
      </w:r>
      <w:r w:rsidR="00AF7218">
        <w:rPr>
          <w:rFonts w:ascii="Arial" w:hAnsi="Arial" w:cs="Arial"/>
          <w:sz w:val="22"/>
        </w:rPr>
        <w:t>by one</w:t>
      </w:r>
      <w:r w:rsidR="007D2B0C">
        <w:rPr>
          <w:rFonts w:ascii="Arial" w:hAnsi="Arial" w:cs="Arial"/>
          <w:sz w:val="22"/>
        </w:rPr>
        <w:t xml:space="preserve"> percent</w:t>
      </w:r>
      <w:r w:rsidR="00AF7218">
        <w:rPr>
          <w:rFonts w:ascii="Arial" w:hAnsi="Arial" w:cs="Arial"/>
          <w:sz w:val="22"/>
        </w:rPr>
        <w:t xml:space="preserve"> each</w:t>
      </w:r>
      <w:r w:rsidR="00665886" w:rsidRPr="008E792F">
        <w:rPr>
          <w:rFonts w:ascii="Arial" w:hAnsi="Arial" w:cs="Arial"/>
          <w:sz w:val="22"/>
        </w:rPr>
        <w:t xml:space="preserve">. </w:t>
      </w:r>
      <w:r w:rsidR="007D2B0C">
        <w:rPr>
          <w:rFonts w:ascii="Arial" w:hAnsi="Arial" w:cs="Arial"/>
          <w:sz w:val="22"/>
        </w:rPr>
        <w:t>The</w:t>
      </w:r>
      <w:r w:rsidR="00405CF7">
        <w:rPr>
          <w:rFonts w:ascii="Arial" w:hAnsi="Arial" w:cs="Arial"/>
          <w:sz w:val="22"/>
        </w:rPr>
        <w:t>re</w:t>
      </w:r>
      <w:r w:rsidR="007D2B0C">
        <w:rPr>
          <w:rFonts w:ascii="Arial" w:hAnsi="Arial" w:cs="Arial"/>
          <w:sz w:val="22"/>
        </w:rPr>
        <w:t xml:space="preserve"> </w:t>
      </w:r>
      <w:r w:rsidR="00405CF7">
        <w:rPr>
          <w:rFonts w:ascii="Arial" w:hAnsi="Arial" w:cs="Arial"/>
          <w:sz w:val="22"/>
        </w:rPr>
        <w:t>was a</w:t>
      </w:r>
      <w:r w:rsidR="007359F5">
        <w:rPr>
          <w:rFonts w:ascii="Arial" w:hAnsi="Arial" w:cs="Arial"/>
          <w:sz w:val="22"/>
        </w:rPr>
        <w:t xml:space="preserve"> late rally in</w:t>
      </w:r>
      <w:r w:rsidR="00AF7218">
        <w:rPr>
          <w:rFonts w:ascii="Arial" w:hAnsi="Arial" w:cs="Arial"/>
          <w:sz w:val="22"/>
        </w:rPr>
        <w:t xml:space="preserve"> load volumes during the final week</w:t>
      </w:r>
      <w:r w:rsidR="007D2B0C">
        <w:rPr>
          <w:rFonts w:ascii="Arial" w:hAnsi="Arial" w:cs="Arial"/>
          <w:sz w:val="22"/>
        </w:rPr>
        <w:t xml:space="preserve"> </w:t>
      </w:r>
      <w:r w:rsidR="00942CA0">
        <w:rPr>
          <w:rFonts w:ascii="Arial" w:hAnsi="Arial" w:cs="Arial"/>
          <w:sz w:val="22"/>
        </w:rPr>
        <w:t>kept</w:t>
      </w:r>
      <w:r w:rsidR="00AF7218">
        <w:rPr>
          <w:rFonts w:ascii="Arial" w:hAnsi="Arial" w:cs="Arial"/>
          <w:sz w:val="22"/>
        </w:rPr>
        <w:t xml:space="preserve"> the monthly decline to just six percent.</w:t>
      </w:r>
    </w:p>
    <w:p w:rsidR="00D42AE3" w:rsidRDefault="00D42AE3" w:rsidP="008E792F">
      <w:pPr>
        <w:rPr>
          <w:rFonts w:ascii="Arial" w:hAnsi="Arial" w:cs="Arial"/>
          <w:sz w:val="22"/>
        </w:rPr>
      </w:pPr>
    </w:p>
    <w:p w:rsidR="00D42AE3" w:rsidRDefault="00942CA0" w:rsidP="00D42A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overall monthly</w:t>
      </w:r>
      <w:r w:rsidR="00D42AE3">
        <w:rPr>
          <w:rFonts w:ascii="Arial" w:hAnsi="Arial" w:cs="Arial"/>
          <w:sz w:val="22"/>
        </w:rPr>
        <w:t xml:space="preserve"> decline in load volumes </w:t>
      </w:r>
      <w:r>
        <w:rPr>
          <w:rFonts w:ascii="Arial" w:hAnsi="Arial" w:cs="Arial"/>
          <w:sz w:val="22"/>
        </w:rPr>
        <w:t>came from</w:t>
      </w:r>
      <w:r w:rsidR="00D42AE3">
        <w:rPr>
          <w:rFonts w:ascii="Arial" w:hAnsi="Arial" w:cs="Arial"/>
          <w:sz w:val="22"/>
        </w:rPr>
        <w:t xml:space="preserve"> a </w:t>
      </w:r>
      <w:r w:rsidR="0063738C">
        <w:rPr>
          <w:rFonts w:ascii="Arial" w:hAnsi="Arial" w:cs="Arial"/>
          <w:sz w:val="22"/>
        </w:rPr>
        <w:t>seven percent drop in</w:t>
      </w:r>
      <w:r w:rsidR="00D42AE3">
        <w:rPr>
          <w:rFonts w:ascii="Arial" w:hAnsi="Arial" w:cs="Arial"/>
          <w:sz w:val="22"/>
        </w:rPr>
        <w:t xml:space="preserve"> cross-border freight entering </w:t>
      </w:r>
      <w:r w:rsidR="00BC671A">
        <w:rPr>
          <w:rFonts w:ascii="Arial" w:hAnsi="Arial" w:cs="Arial"/>
          <w:sz w:val="22"/>
        </w:rPr>
        <w:t>Canada</w:t>
      </w:r>
      <w:r>
        <w:rPr>
          <w:rFonts w:ascii="Arial" w:hAnsi="Arial" w:cs="Arial"/>
          <w:sz w:val="22"/>
        </w:rPr>
        <w:t xml:space="preserve"> with</w:t>
      </w:r>
      <w:r w:rsidR="0063738C">
        <w:rPr>
          <w:rFonts w:ascii="Arial" w:hAnsi="Arial" w:cs="Arial"/>
          <w:sz w:val="22"/>
        </w:rPr>
        <w:t xml:space="preserve"> a five percent dip</w:t>
      </w:r>
      <w:r w:rsidR="00D42AE3">
        <w:rPr>
          <w:rFonts w:ascii="Arial" w:hAnsi="Arial" w:cs="Arial"/>
          <w:sz w:val="22"/>
        </w:rPr>
        <w:t xml:space="preserve"> in intra-Canadian loads. </w:t>
      </w:r>
      <w:r w:rsidR="009E0AF4">
        <w:rPr>
          <w:rFonts w:ascii="Arial" w:hAnsi="Arial" w:cs="Arial"/>
          <w:sz w:val="22"/>
        </w:rPr>
        <w:t>Despite the broad</w:t>
      </w:r>
      <w:r>
        <w:rPr>
          <w:rFonts w:ascii="Arial" w:hAnsi="Arial" w:cs="Arial"/>
          <w:sz w:val="22"/>
        </w:rPr>
        <w:t xml:space="preserve"> outlook, </w:t>
      </w:r>
      <w:r w:rsidR="009E0AF4">
        <w:rPr>
          <w:rFonts w:ascii="Arial" w:hAnsi="Arial" w:cs="Arial"/>
          <w:sz w:val="22"/>
        </w:rPr>
        <w:t>an</w:t>
      </w:r>
      <w:r w:rsidR="00D42AE3">
        <w:rPr>
          <w:rFonts w:ascii="Arial" w:hAnsi="Arial" w:cs="Arial"/>
          <w:sz w:val="22"/>
        </w:rPr>
        <w:t xml:space="preserve"> opposite trend </w:t>
      </w:r>
      <w:r w:rsidR="00171E86">
        <w:rPr>
          <w:rFonts w:ascii="Arial" w:hAnsi="Arial" w:cs="Arial"/>
          <w:sz w:val="22"/>
        </w:rPr>
        <w:t xml:space="preserve">occurred </w:t>
      </w:r>
      <w:r w:rsidR="00D42AE3">
        <w:rPr>
          <w:rFonts w:ascii="Arial" w:hAnsi="Arial" w:cs="Arial"/>
          <w:sz w:val="22"/>
        </w:rPr>
        <w:t xml:space="preserve">in the </w:t>
      </w:r>
      <w:bookmarkStart w:id="0" w:name="_GoBack"/>
      <w:r w:rsidR="00D42AE3" w:rsidRPr="002E0F6F">
        <w:rPr>
          <w:rFonts w:ascii="Arial" w:hAnsi="Arial" w:cs="Arial"/>
          <w:b/>
          <w:sz w:val="22"/>
        </w:rPr>
        <w:t>final week of September as inbound cross-border load volumes saw a significant fifteen percent increase compared to the week prior.</w:t>
      </w:r>
      <w:r w:rsidR="00171E86" w:rsidRPr="002E0F6F">
        <w:rPr>
          <w:rFonts w:ascii="Arial" w:hAnsi="Arial" w:cs="Arial"/>
          <w:b/>
          <w:sz w:val="22"/>
        </w:rPr>
        <w:t xml:space="preserve"> Intra-Canadian load volumes experienced</w:t>
      </w:r>
      <w:r w:rsidRPr="002E0F6F">
        <w:rPr>
          <w:rFonts w:ascii="Arial" w:hAnsi="Arial" w:cs="Arial"/>
          <w:b/>
          <w:sz w:val="22"/>
        </w:rPr>
        <w:t xml:space="preserve"> a slight upturn of three percent.</w:t>
      </w:r>
      <w:bookmarkEnd w:id="0"/>
    </w:p>
    <w:p w:rsidR="00D42AE3" w:rsidRDefault="00D42AE3" w:rsidP="00D42AE3">
      <w:pPr>
        <w:rPr>
          <w:rFonts w:ascii="Arial" w:hAnsi="Arial" w:cs="Arial"/>
          <w:sz w:val="22"/>
        </w:rPr>
      </w:pPr>
    </w:p>
    <w:p w:rsidR="00942CA0" w:rsidRDefault="00942CA0" w:rsidP="00D42A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Recovery in the last week of September was mainly because of significant jumps in outbound loads from the Vancouver (BC), Southern Alberta (AB), and Moncton (NB) markets.</w:t>
      </w:r>
      <w:r w:rsidR="0063738C">
        <w:rPr>
          <w:rFonts w:ascii="Arial" w:hAnsi="Arial" w:cs="Arial"/>
          <w:sz w:val="22"/>
        </w:rPr>
        <w:t xml:space="preserve"> The busiest</w:t>
      </w:r>
      <w:r>
        <w:rPr>
          <w:rFonts w:ascii="Arial" w:hAnsi="Arial" w:cs="Arial"/>
          <w:sz w:val="22"/>
        </w:rPr>
        <w:t xml:space="preserve"> </w:t>
      </w:r>
      <w:r w:rsidR="00171E86">
        <w:rPr>
          <w:rFonts w:ascii="Arial" w:hAnsi="Arial" w:cs="Arial"/>
          <w:sz w:val="22"/>
        </w:rPr>
        <w:t xml:space="preserve">Canadian </w:t>
      </w:r>
      <w:r>
        <w:rPr>
          <w:rFonts w:ascii="Arial" w:hAnsi="Arial" w:cs="Arial"/>
          <w:sz w:val="22"/>
        </w:rPr>
        <w:t xml:space="preserve">market of Toronto (ON) saw no change </w:t>
      </w:r>
      <w:r w:rsidR="00171E86">
        <w:rPr>
          <w:rFonts w:ascii="Arial" w:hAnsi="Arial" w:cs="Arial"/>
          <w:sz w:val="22"/>
        </w:rPr>
        <w:t xml:space="preserve">in volumes </w:t>
      </w:r>
      <w:r>
        <w:rPr>
          <w:rFonts w:ascii="Arial" w:hAnsi="Arial" w:cs="Arial"/>
          <w:sz w:val="22"/>
        </w:rPr>
        <w:t xml:space="preserve">from the previous week, while </w:t>
      </w:r>
      <w:r w:rsidR="009E0AF4">
        <w:rPr>
          <w:rFonts w:ascii="Arial" w:hAnsi="Arial" w:cs="Arial"/>
          <w:sz w:val="22"/>
        </w:rPr>
        <w:t>the Montreal (QC) market</w:t>
      </w:r>
      <w:r>
        <w:rPr>
          <w:rFonts w:ascii="Arial" w:hAnsi="Arial" w:cs="Arial"/>
          <w:sz w:val="22"/>
        </w:rPr>
        <w:t xml:space="preserve"> saw load volumes fall </w:t>
      </w:r>
      <w:r w:rsidR="00BC671A">
        <w:rPr>
          <w:rFonts w:ascii="Arial" w:hAnsi="Arial" w:cs="Arial"/>
          <w:sz w:val="22"/>
        </w:rPr>
        <w:t xml:space="preserve">ten </w:t>
      </w:r>
      <w:r>
        <w:rPr>
          <w:rFonts w:ascii="Arial" w:hAnsi="Arial" w:cs="Arial"/>
          <w:sz w:val="22"/>
        </w:rPr>
        <w:t>percent.</w:t>
      </w:r>
    </w:p>
    <w:p w:rsidR="00942CA0" w:rsidRDefault="00942CA0" w:rsidP="00D42AE3">
      <w:pPr>
        <w:rPr>
          <w:rFonts w:ascii="Arial" w:hAnsi="Arial" w:cs="Arial"/>
          <w:sz w:val="22"/>
        </w:rPr>
      </w:pPr>
    </w:p>
    <w:p w:rsidR="00D42AE3" w:rsidRDefault="009E0AF4" w:rsidP="00D42A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of the top five</w:t>
      </w:r>
      <w:r w:rsidR="00D42AE3">
        <w:rPr>
          <w:rFonts w:ascii="Arial" w:hAnsi="Arial" w:cs="Arial"/>
          <w:sz w:val="22"/>
        </w:rPr>
        <w:t xml:space="preserve"> </w:t>
      </w:r>
      <w:r w:rsidR="00D64982">
        <w:rPr>
          <w:rFonts w:ascii="Arial" w:hAnsi="Arial" w:cs="Arial"/>
          <w:sz w:val="22"/>
        </w:rPr>
        <w:t xml:space="preserve">American markets that saw the largest gains in </w:t>
      </w:r>
      <w:r>
        <w:rPr>
          <w:rFonts w:ascii="Arial" w:hAnsi="Arial" w:cs="Arial"/>
          <w:sz w:val="22"/>
        </w:rPr>
        <w:t>cross-border volumes belonged to the state of Wisconsin (Green Bay, Eau Claire, Madison). Decatur (AL) and Chattanooga (TN) comprised the remaining two</w:t>
      </w:r>
      <w:r w:rsidR="00D64982">
        <w:rPr>
          <w:rFonts w:ascii="Arial" w:hAnsi="Arial" w:cs="Arial"/>
          <w:sz w:val="22"/>
        </w:rPr>
        <w:t xml:space="preserve"> markets with the largest week-over-week changes</w:t>
      </w:r>
      <w:r>
        <w:rPr>
          <w:rFonts w:ascii="Arial" w:hAnsi="Arial" w:cs="Arial"/>
          <w:sz w:val="22"/>
        </w:rPr>
        <w:t>. On average, these five markets saw gains of 96 percent in o</w:t>
      </w:r>
      <w:r w:rsidR="00D64982">
        <w:rPr>
          <w:rFonts w:ascii="Arial" w:hAnsi="Arial" w:cs="Arial"/>
          <w:sz w:val="22"/>
        </w:rPr>
        <w:t xml:space="preserve">utbound loads headed for Canada. </w:t>
      </w:r>
      <w:r w:rsidR="00171E86">
        <w:rPr>
          <w:rFonts w:ascii="Arial" w:hAnsi="Arial" w:cs="Arial"/>
          <w:sz w:val="22"/>
        </w:rPr>
        <w:t>Conversely, truck postings from these markets to Canada fell an average of 19 percent during the same period.</w:t>
      </w:r>
    </w:p>
    <w:p w:rsidR="00BB73F5" w:rsidRDefault="00BB73F5" w:rsidP="008E792F">
      <w:pPr>
        <w:rPr>
          <w:rFonts w:ascii="Arial" w:hAnsi="Arial" w:cs="Arial"/>
          <w:b/>
          <w:bCs/>
          <w:sz w:val="22"/>
          <w:szCs w:val="22"/>
        </w:rPr>
      </w:pPr>
    </w:p>
    <w:p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736EF9">
        <w:rPr>
          <w:rFonts w:ascii="Arial" w:hAnsi="Arial" w:cs="Arial"/>
          <w:bCs/>
          <w:sz w:val="22"/>
          <w:szCs w:val="22"/>
        </w:rPr>
        <w:t>3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736EF9">
        <w:rPr>
          <w:rFonts w:ascii="Arial" w:eastAsia="Calibri" w:hAnsi="Arial" w:cs="Arial"/>
          <w:sz w:val="22"/>
          <w:szCs w:val="22"/>
        </w:rPr>
        <w:t>2</w:t>
      </w:r>
      <w:r w:rsidR="00035D37">
        <w:rPr>
          <w:rFonts w:ascii="Arial" w:eastAsia="Calibri" w:hAnsi="Arial" w:cs="Arial"/>
          <w:sz w:val="22"/>
          <w:szCs w:val="22"/>
        </w:rPr>
        <w:t>2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35D37">
        <w:rPr>
          <w:rFonts w:ascii="Arial" w:eastAsia="Calibri" w:hAnsi="Arial" w:cs="Arial"/>
          <w:bCs/>
          <w:sz w:val="22"/>
          <w:szCs w:val="22"/>
        </w:rPr>
        <w:t>13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35D37">
        <w:rPr>
          <w:rFonts w:ascii="Arial" w:eastAsia="Calibri" w:hAnsi="Arial" w:cs="Arial"/>
          <w:bCs/>
          <w:sz w:val="22"/>
          <w:szCs w:val="22"/>
        </w:rPr>
        <w:t>25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35D37">
        <w:rPr>
          <w:rFonts w:ascii="Arial" w:eastAsia="Calibri" w:hAnsi="Arial" w:cs="Arial"/>
          <w:bCs/>
          <w:sz w:val="22"/>
          <w:szCs w:val="22"/>
        </w:rPr>
        <w:t>27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BE0C0D" w:rsidRDefault="00BE0C0D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BE0C0D" w:rsidRDefault="00BE0C0D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BE0C0D" w:rsidRDefault="00BE0C0D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lastRenderedPageBreak/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93706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59F5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4A0F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421C7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59F5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93706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421C7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7115" w:rsidRPr="00405CF7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93706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359F5">
              <w:rPr>
                <w:rFonts w:ascii="Arial" w:hAnsi="Arial" w:cs="Arial"/>
                <w:bCs/>
                <w:sz w:val="22"/>
                <w:szCs w:val="22"/>
              </w:rPr>
              <w:t xml:space="preserve"> 14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7359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7359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F3591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937060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AB7115" w:rsidRPr="00405CF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072A5A" w:rsidRDefault="007359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51C68">
        <w:rPr>
          <w:rFonts w:ascii="Arial" w:hAnsi="Arial" w:cs="Arial"/>
          <w:bCs/>
          <w:sz w:val="22"/>
          <w:szCs w:val="22"/>
        </w:rPr>
        <w:t>3</w:t>
      </w:r>
      <w:r w:rsidR="00736EF9">
        <w:rPr>
          <w:rFonts w:ascii="Arial" w:hAnsi="Arial" w:cs="Arial"/>
          <w:bCs/>
          <w:sz w:val="22"/>
          <w:szCs w:val="22"/>
        </w:rPr>
        <w:t>5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:rsidTr="008148D3">
        <w:tc>
          <w:tcPr>
            <w:tcW w:w="2880" w:type="dxa"/>
          </w:tcPr>
          <w:p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E5032" w:rsidRPr="00405CF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91233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2A5A" w:rsidRPr="00405CF7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3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5CF7">
              <w:rPr>
                <w:rFonts w:ascii="Arial" w:hAnsi="Arial" w:cs="Arial"/>
                <w:bCs/>
                <w:sz w:val="22"/>
                <w:szCs w:val="22"/>
              </w:rPr>
              <w:t>+ 5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5C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05CF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5C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05CF7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5CF7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05CF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72A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2A5A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35D3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072A5A" w:rsidRDefault="00072A5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51C68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6770D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F962FA">
        <w:rPr>
          <w:rFonts w:ascii="Arial" w:hAnsi="Arial" w:cs="Arial"/>
          <w:bCs/>
          <w:sz w:val="22"/>
          <w:szCs w:val="22"/>
        </w:rPr>
        <w:t>2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072A5A">
        <w:rPr>
          <w:rFonts w:ascii="Arial" w:eastAsiaTheme="minorEastAsia" w:hAnsi="Arial" w:cs="Arial"/>
          <w:bCs/>
          <w:sz w:val="22"/>
          <w:szCs w:val="22"/>
          <w:lang w:eastAsia="zh-CN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072A5A">
        <w:rPr>
          <w:rFonts w:ascii="Arial" w:hAnsi="Arial" w:cs="Arial"/>
          <w:bCs/>
          <w:sz w:val="22"/>
          <w:szCs w:val="22"/>
        </w:rPr>
        <w:t>7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DB471F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2A5B41" w:rsidRDefault="002A5B41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770D5" w:rsidRDefault="006770D5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B86D94" w:rsidRDefault="00B86D94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:rsidTr="000221B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Pr="000221BB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744555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744555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-17%</w:t>
            </w:r>
          </w:p>
        </w:tc>
      </w:tr>
      <w:tr w:rsidR="003305C4" w:rsidRPr="00744555" w:rsidTr="00F962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12%</w:t>
            </w:r>
          </w:p>
        </w:tc>
      </w:tr>
      <w:tr w:rsidR="003305C4" w:rsidRPr="00744555" w:rsidTr="00A3555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A6FC2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A6FC2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-9%</w:t>
            </w:r>
          </w:p>
        </w:tc>
      </w:tr>
      <w:tr w:rsidR="003305C4" w:rsidRPr="00FA3821" w:rsidTr="0003210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65385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65385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3305C4" w:rsidRPr="00FA3821" w:rsidTr="00405CF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035D3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2A2F15" w:rsidRDefault="00035D3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2A2F15" w:rsidRDefault="00035D3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-6%</w:t>
            </w: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22511" w:rsidRDefault="007F6C85" w:rsidP="00465ED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71FDE8F4">
            <wp:extent cx="5206365" cy="3980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005" w:rsidRDefault="00B22511" w:rsidP="00B22511">
      <w:pPr>
        <w:jc w:val="center"/>
      </w:pPr>
      <w:r>
        <w:br w:type="page"/>
      </w:r>
    </w:p>
    <w:p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:rsidTr="000221B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302147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221B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-12%</w:t>
            </w:r>
          </w:p>
        </w:tc>
      </w:tr>
      <w:tr w:rsidR="003305C4" w:rsidRPr="00FA3821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21%</w:t>
            </w:r>
          </w:p>
        </w:tc>
      </w:tr>
      <w:tr w:rsidR="003305C4" w:rsidRPr="00FA3821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</w:tr>
      <w:tr w:rsidR="003305C4" w:rsidRPr="009439D8" w:rsidTr="00F962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-13%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15%</w:t>
            </w:r>
          </w:p>
        </w:tc>
      </w:tr>
      <w:tr w:rsidR="003305C4" w:rsidRPr="00FA3821" w:rsidTr="0003210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3305C4" w:rsidRPr="00FA3821" w:rsidTr="00405CF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035D3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035D3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035D3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22511" w:rsidRDefault="00B22511" w:rsidP="00653854">
      <w:pPr>
        <w:tabs>
          <w:tab w:val="left" w:pos="3870"/>
        </w:tabs>
        <w:jc w:val="center"/>
      </w:pPr>
    </w:p>
    <w:p w:rsidR="00090277" w:rsidRDefault="007F6C85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5E71B85A">
            <wp:extent cx="5205439" cy="398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39" cy="39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E3" w:rsidRDefault="00D42AE3" w:rsidP="00632632">
      <w:r>
        <w:separator/>
      </w:r>
    </w:p>
  </w:endnote>
  <w:endnote w:type="continuationSeparator" w:id="0">
    <w:p w:rsidR="00D42AE3" w:rsidRDefault="00D42AE3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E3" w:rsidRDefault="00D42AE3" w:rsidP="00632632">
      <w:r>
        <w:separator/>
      </w:r>
    </w:p>
  </w:footnote>
  <w:footnote w:type="continuationSeparator" w:id="0">
    <w:p w:rsidR="00D42AE3" w:rsidRDefault="00D42AE3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2AE3" w:rsidRDefault="00D42AE3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:rsidR="00D42AE3" w:rsidRDefault="00D42AE3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September 2019</w:t>
    </w:r>
  </w:p>
  <w:p w:rsidR="00D42AE3" w:rsidRPr="00980284" w:rsidRDefault="00D42AE3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:rsidR="00D42AE3" w:rsidRDefault="00D42AE3" w:rsidP="00B22511">
    <w:pPr>
      <w:pStyle w:val="BalloonText"/>
      <w:jc w:val="right"/>
    </w:pPr>
  </w:p>
  <w:p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21BB"/>
    <w:rsid w:val="00027482"/>
    <w:rsid w:val="0003208C"/>
    <w:rsid w:val="0003210F"/>
    <w:rsid w:val="00034DBF"/>
    <w:rsid w:val="00035D37"/>
    <w:rsid w:val="00037118"/>
    <w:rsid w:val="00041E98"/>
    <w:rsid w:val="000421C7"/>
    <w:rsid w:val="0004371B"/>
    <w:rsid w:val="0004598D"/>
    <w:rsid w:val="00053DE0"/>
    <w:rsid w:val="00061658"/>
    <w:rsid w:val="00072A5A"/>
    <w:rsid w:val="00073E7F"/>
    <w:rsid w:val="00073F2B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428BF"/>
    <w:rsid w:val="001555F7"/>
    <w:rsid w:val="00157165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4A7"/>
    <w:rsid w:val="00224CFC"/>
    <w:rsid w:val="0022589E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D0FA2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6C33"/>
    <w:rsid w:val="00631DA3"/>
    <w:rsid w:val="00632632"/>
    <w:rsid w:val="006333F6"/>
    <w:rsid w:val="00633F78"/>
    <w:rsid w:val="00635F29"/>
    <w:rsid w:val="0063738C"/>
    <w:rsid w:val="00653854"/>
    <w:rsid w:val="0065569D"/>
    <w:rsid w:val="00655A73"/>
    <w:rsid w:val="0066380E"/>
    <w:rsid w:val="00663EE3"/>
    <w:rsid w:val="006649C7"/>
    <w:rsid w:val="00665886"/>
    <w:rsid w:val="00670082"/>
    <w:rsid w:val="00674B76"/>
    <w:rsid w:val="00674DCE"/>
    <w:rsid w:val="006770D5"/>
    <w:rsid w:val="00683C18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C5536"/>
    <w:rsid w:val="006C5DD2"/>
    <w:rsid w:val="006D0BCC"/>
    <w:rsid w:val="006D4956"/>
    <w:rsid w:val="006D5EAE"/>
    <w:rsid w:val="006D77BD"/>
    <w:rsid w:val="006E0CD2"/>
    <w:rsid w:val="006E130C"/>
    <w:rsid w:val="006E6809"/>
    <w:rsid w:val="006E7AC5"/>
    <w:rsid w:val="006F06EE"/>
    <w:rsid w:val="006F325D"/>
    <w:rsid w:val="006F3591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9F5"/>
    <w:rsid w:val="00735C21"/>
    <w:rsid w:val="00736EF9"/>
    <w:rsid w:val="007425B2"/>
    <w:rsid w:val="00744555"/>
    <w:rsid w:val="007629DC"/>
    <w:rsid w:val="0076335F"/>
    <w:rsid w:val="00767358"/>
    <w:rsid w:val="00770670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21BF"/>
    <w:rsid w:val="008B73EE"/>
    <w:rsid w:val="008C26F9"/>
    <w:rsid w:val="008D2EA5"/>
    <w:rsid w:val="008D3B1E"/>
    <w:rsid w:val="008D412F"/>
    <w:rsid w:val="008D6FE9"/>
    <w:rsid w:val="008E0724"/>
    <w:rsid w:val="008E3A3A"/>
    <w:rsid w:val="008E4CF1"/>
    <w:rsid w:val="008E5287"/>
    <w:rsid w:val="008E60AD"/>
    <w:rsid w:val="008E6EE8"/>
    <w:rsid w:val="008E792F"/>
    <w:rsid w:val="008F5322"/>
    <w:rsid w:val="00900751"/>
    <w:rsid w:val="0090471F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0AF4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60A3"/>
    <w:rsid w:val="00A345A0"/>
    <w:rsid w:val="00A35553"/>
    <w:rsid w:val="00A364BC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6579"/>
    <w:rsid w:val="00A86AC0"/>
    <w:rsid w:val="00A91456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158E"/>
    <w:rsid w:val="00C94FB3"/>
    <w:rsid w:val="00C96587"/>
    <w:rsid w:val="00CA137A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2AE3"/>
    <w:rsid w:val="00D44BD8"/>
    <w:rsid w:val="00D46231"/>
    <w:rsid w:val="00D46F82"/>
    <w:rsid w:val="00D472B2"/>
    <w:rsid w:val="00D506E5"/>
    <w:rsid w:val="00D55E5F"/>
    <w:rsid w:val="00D64982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0582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705"/>
    <w:rsid w:val="00E927B9"/>
    <w:rsid w:val="00EA0052"/>
    <w:rsid w:val="00EA31B7"/>
    <w:rsid w:val="00EA5A50"/>
    <w:rsid w:val="00EA799F"/>
    <w:rsid w:val="00EB2259"/>
    <w:rsid w:val="00EC342A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EF7D5E"/>
    <w:rsid w:val="00F01769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FC1"/>
    <w:rsid w:val="00F75ECE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B4B852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DB75-4DA1-4AA0-B9DB-800656EF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Campbell-Jones, Karen</cp:lastModifiedBy>
  <cp:revision>3</cp:revision>
  <cp:lastPrinted>2015-01-12T14:51:00Z</cp:lastPrinted>
  <dcterms:created xsi:type="dcterms:W3CDTF">2019-10-07T19:57:00Z</dcterms:created>
  <dcterms:modified xsi:type="dcterms:W3CDTF">2019-10-07T19:58:00Z</dcterms:modified>
</cp:coreProperties>
</file>