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7933B6">
        <w:rPr>
          <w:rFonts w:ascii="Arial" w:eastAsia="Calibri" w:hAnsi="Arial" w:cs="Arial"/>
          <w:bCs/>
          <w:sz w:val="22"/>
          <w:szCs w:val="22"/>
        </w:rPr>
        <w:t xml:space="preserve"> decreased</w:t>
      </w:r>
      <w:r w:rsidR="003E73A1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933B6">
        <w:rPr>
          <w:rFonts w:ascii="Arial" w:eastAsia="Calibri" w:hAnsi="Arial" w:cs="Arial"/>
          <w:bCs/>
          <w:sz w:val="22"/>
          <w:szCs w:val="22"/>
        </w:rPr>
        <w:t>two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AB592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933B6">
        <w:rPr>
          <w:rFonts w:ascii="Arial" w:eastAsia="Calibri" w:hAnsi="Arial" w:cs="Arial"/>
          <w:bCs/>
          <w:sz w:val="22"/>
          <w:szCs w:val="22"/>
        </w:rPr>
        <w:t>January</w:t>
      </w:r>
      <w:r w:rsidR="003E73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933B6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D54EAC">
        <w:rPr>
          <w:rFonts w:ascii="Arial" w:eastAsia="Calibri" w:hAnsi="Arial" w:cs="Arial"/>
          <w:bCs/>
          <w:sz w:val="22"/>
          <w:szCs w:val="22"/>
        </w:rPr>
        <w:t>decrease</w:t>
      </w:r>
      <w:r w:rsidR="004C4319">
        <w:rPr>
          <w:rFonts w:ascii="Arial" w:eastAsia="Calibri" w:hAnsi="Arial" w:cs="Arial"/>
          <w:bCs/>
          <w:sz w:val="22"/>
          <w:szCs w:val="22"/>
        </w:rPr>
        <w:t>d</w:t>
      </w:r>
      <w:r w:rsidR="007933B6">
        <w:rPr>
          <w:rFonts w:ascii="Arial" w:eastAsia="Calibri" w:hAnsi="Arial" w:cs="Arial"/>
          <w:bCs/>
          <w:sz w:val="22"/>
          <w:szCs w:val="22"/>
        </w:rPr>
        <w:t xml:space="preserve"> nine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933B6">
        <w:rPr>
          <w:rFonts w:ascii="Arial" w:eastAsia="Calibri" w:hAnsi="Arial" w:cs="Arial"/>
          <w:bCs/>
          <w:sz w:val="22"/>
          <w:szCs w:val="22"/>
        </w:rPr>
        <w:t>February</w:t>
      </w:r>
      <w:r w:rsidR="00D54EAC">
        <w:rPr>
          <w:rFonts w:ascii="Arial" w:eastAsia="Calibri" w:hAnsi="Arial" w:cs="Arial"/>
          <w:bCs/>
          <w:sz w:val="22"/>
          <w:szCs w:val="22"/>
        </w:rPr>
        <w:t xml:space="preserve"> 2019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:rsidR="00041E98" w:rsidRPr="005553D7" w:rsidRDefault="00041E98" w:rsidP="00041E98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041E98" w:rsidRDefault="00041E98" w:rsidP="0053176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</w:rPr>
      </w:pPr>
      <w:r w:rsidRPr="003C1425">
        <w:rPr>
          <w:rFonts w:ascii="Arial" w:hAnsi="Arial" w:cs="Arial"/>
          <w:b/>
          <w:sz w:val="22"/>
          <w:szCs w:val="22"/>
        </w:rPr>
        <w:t>Truck-to-load ratio:</w:t>
      </w:r>
      <w:r w:rsidRPr="003C1425">
        <w:rPr>
          <w:rFonts w:ascii="Arial" w:hAnsi="Arial" w:cs="Arial"/>
        </w:rPr>
        <w:t xml:space="preserve"> </w:t>
      </w:r>
      <w:r w:rsidR="00511E73">
        <w:rPr>
          <w:rFonts w:ascii="Arial" w:hAnsi="Arial" w:cs="Arial"/>
          <w:sz w:val="22"/>
        </w:rPr>
        <w:t>The ratio</w:t>
      </w:r>
      <w:r w:rsidRPr="003C1425">
        <w:rPr>
          <w:rFonts w:ascii="Arial" w:hAnsi="Arial" w:cs="Arial"/>
          <w:sz w:val="22"/>
        </w:rPr>
        <w:t xml:space="preserve"> </w:t>
      </w:r>
      <w:r w:rsidR="00752A78">
        <w:rPr>
          <w:rFonts w:ascii="Arial" w:hAnsi="Arial" w:cs="Arial"/>
          <w:sz w:val="22"/>
        </w:rPr>
        <w:t xml:space="preserve">contracted </w:t>
      </w:r>
      <w:r w:rsidR="007933B6">
        <w:rPr>
          <w:rFonts w:ascii="Arial" w:hAnsi="Arial" w:cs="Arial"/>
          <w:sz w:val="22"/>
        </w:rPr>
        <w:t>10</w:t>
      </w:r>
      <w:r w:rsidR="003C1425" w:rsidRPr="00405CF7">
        <w:rPr>
          <w:rFonts w:ascii="Arial" w:hAnsi="Arial" w:cs="Arial"/>
          <w:sz w:val="22"/>
        </w:rPr>
        <w:t xml:space="preserve"> percent to </w:t>
      </w:r>
      <w:r w:rsidR="00AB5927">
        <w:rPr>
          <w:rFonts w:ascii="Arial" w:hAnsi="Arial" w:cs="Arial"/>
          <w:sz w:val="22"/>
        </w:rPr>
        <w:t>2.</w:t>
      </w:r>
      <w:r w:rsidR="007933B6">
        <w:rPr>
          <w:rFonts w:ascii="Arial" w:hAnsi="Arial" w:cs="Arial"/>
          <w:sz w:val="22"/>
        </w:rPr>
        <w:t>42</w:t>
      </w:r>
      <w:r w:rsidR="003C1425" w:rsidRPr="00405CF7">
        <w:rPr>
          <w:rFonts w:ascii="Arial" w:hAnsi="Arial" w:cs="Arial"/>
          <w:sz w:val="22"/>
        </w:rPr>
        <w:t xml:space="preserve"> from </w:t>
      </w:r>
      <w:r w:rsidR="00D54EAC">
        <w:rPr>
          <w:rFonts w:ascii="Arial" w:hAnsi="Arial" w:cs="Arial"/>
          <w:sz w:val="22"/>
        </w:rPr>
        <w:t>2</w:t>
      </w:r>
      <w:r w:rsidR="003C1425" w:rsidRPr="00405CF7">
        <w:rPr>
          <w:rFonts w:ascii="Arial" w:hAnsi="Arial" w:cs="Arial"/>
          <w:sz w:val="22"/>
        </w:rPr>
        <w:t>.</w:t>
      </w:r>
      <w:r w:rsidR="007933B6">
        <w:rPr>
          <w:rFonts w:ascii="Arial" w:hAnsi="Arial" w:cs="Arial"/>
          <w:sz w:val="22"/>
        </w:rPr>
        <w:t>68</w:t>
      </w:r>
      <w:r w:rsidRPr="003C1425">
        <w:rPr>
          <w:rFonts w:ascii="Arial" w:hAnsi="Arial" w:cs="Arial"/>
          <w:sz w:val="22"/>
        </w:rPr>
        <w:t xml:space="preserve"> in </w:t>
      </w:r>
      <w:r w:rsidR="007933B6">
        <w:rPr>
          <w:rFonts w:ascii="Arial" w:hAnsi="Arial" w:cs="Arial"/>
          <w:sz w:val="22"/>
        </w:rPr>
        <w:t>January</w:t>
      </w:r>
      <w:r w:rsidR="003C1425" w:rsidRPr="00405CF7">
        <w:rPr>
          <w:rFonts w:ascii="Arial" w:hAnsi="Arial" w:cs="Arial"/>
          <w:sz w:val="22"/>
        </w:rPr>
        <w:t xml:space="preserve">. Year-over-year, the truck-to-load ratio </w:t>
      </w:r>
      <w:r w:rsidR="007933B6">
        <w:rPr>
          <w:rFonts w:ascii="Arial" w:hAnsi="Arial" w:cs="Arial"/>
          <w:sz w:val="22"/>
        </w:rPr>
        <w:t>rose 13</w:t>
      </w:r>
      <w:r w:rsidR="003C1425" w:rsidRPr="00405CF7">
        <w:rPr>
          <w:rFonts w:ascii="Arial" w:hAnsi="Arial" w:cs="Arial"/>
          <w:sz w:val="22"/>
        </w:rPr>
        <w:t xml:space="preserve"> percent</w:t>
      </w:r>
      <w:r w:rsidR="00AB5927">
        <w:rPr>
          <w:rFonts w:ascii="Arial" w:hAnsi="Arial" w:cs="Arial"/>
          <w:sz w:val="22"/>
        </w:rPr>
        <w:t>age point</w:t>
      </w:r>
      <w:r w:rsidR="00D54EAC">
        <w:rPr>
          <w:rFonts w:ascii="Arial" w:hAnsi="Arial" w:cs="Arial"/>
          <w:sz w:val="22"/>
        </w:rPr>
        <w:t>s</w:t>
      </w:r>
      <w:r w:rsidR="003C1425" w:rsidRPr="00405CF7">
        <w:rPr>
          <w:rFonts w:ascii="Arial" w:hAnsi="Arial" w:cs="Arial"/>
          <w:sz w:val="22"/>
        </w:rPr>
        <w:t xml:space="preserve"> from a ratio of </w:t>
      </w:r>
      <w:r w:rsidR="00AB5927">
        <w:rPr>
          <w:rFonts w:ascii="Arial" w:hAnsi="Arial" w:cs="Arial"/>
          <w:sz w:val="22"/>
        </w:rPr>
        <w:t>2.</w:t>
      </w:r>
      <w:r w:rsidR="007933B6">
        <w:rPr>
          <w:rFonts w:ascii="Arial" w:hAnsi="Arial" w:cs="Arial"/>
          <w:sz w:val="22"/>
        </w:rPr>
        <w:t>14</w:t>
      </w:r>
      <w:r w:rsidRPr="003C1425">
        <w:rPr>
          <w:rFonts w:ascii="Arial" w:hAnsi="Arial" w:cs="Arial"/>
          <w:sz w:val="22"/>
        </w:rPr>
        <w:t xml:space="preserve"> trucks </w:t>
      </w:r>
      <w:r w:rsidR="007933B6">
        <w:rPr>
          <w:rFonts w:ascii="Arial" w:hAnsi="Arial" w:cs="Arial"/>
          <w:sz w:val="22"/>
        </w:rPr>
        <w:t xml:space="preserve">for every one load available in February </w:t>
      </w:r>
      <w:r w:rsidRPr="003C1425">
        <w:rPr>
          <w:rFonts w:ascii="Arial" w:hAnsi="Arial" w:cs="Arial"/>
          <w:sz w:val="22"/>
        </w:rPr>
        <w:t>201</w:t>
      </w:r>
      <w:r w:rsidR="00D54EAC">
        <w:rPr>
          <w:rFonts w:ascii="Arial" w:hAnsi="Arial" w:cs="Arial"/>
          <w:sz w:val="22"/>
        </w:rPr>
        <w:t>9</w:t>
      </w:r>
      <w:r w:rsidRPr="003C1425">
        <w:rPr>
          <w:rFonts w:ascii="Arial" w:hAnsi="Arial" w:cs="Arial"/>
          <w:sz w:val="22"/>
        </w:rPr>
        <w:t>.</w:t>
      </w:r>
    </w:p>
    <w:p w:rsidR="005553D7" w:rsidRPr="005553D7" w:rsidRDefault="005553D7" w:rsidP="00531762">
      <w:pPr>
        <w:ind w:left="360"/>
        <w:rPr>
          <w:rFonts w:ascii="Arial" w:hAnsi="Arial" w:cs="Arial"/>
          <w:b/>
          <w:sz w:val="22"/>
          <w:szCs w:val="22"/>
        </w:rPr>
      </w:pPr>
    </w:p>
    <w:p w:rsidR="001F61E6" w:rsidRPr="001F61E6" w:rsidRDefault="005553D7" w:rsidP="001F61E6">
      <w:pPr>
        <w:spacing w:line="276" w:lineRule="auto"/>
        <w:rPr>
          <w:rFonts w:ascii="Arial" w:hAnsi="Arial" w:cs="Arial"/>
          <w:sz w:val="22"/>
          <w:szCs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="00976307">
        <w:rPr>
          <w:rFonts w:ascii="Arial" w:hAnsi="Arial" w:cs="Arial"/>
          <w:sz w:val="22"/>
        </w:rPr>
        <w:t xml:space="preserve"> </w:t>
      </w:r>
      <w:proofErr w:type="spellStart"/>
      <w:r w:rsidR="001F61E6" w:rsidRPr="001F61E6">
        <w:rPr>
          <w:rFonts w:ascii="Arial" w:hAnsi="Arial" w:cs="Arial"/>
          <w:sz w:val="22"/>
          <w:szCs w:val="22"/>
          <w:lang w:eastAsia="en-CA"/>
        </w:rPr>
        <w:t>Loadlink’s</w:t>
      </w:r>
      <w:proofErr w:type="spellEnd"/>
      <w:r w:rsidR="001F61E6" w:rsidRPr="001F61E6">
        <w:rPr>
          <w:rFonts w:ascii="Arial" w:hAnsi="Arial" w:cs="Arial"/>
          <w:sz w:val="22"/>
          <w:szCs w:val="22"/>
          <w:lang w:eastAsia="en-CA"/>
        </w:rPr>
        <w:t xml:space="preserve"> Canadian spot market continued its strong start to the year with a 13 percent increase in average daily load volumes. The reduced number of workdays caused overall load numbers to fall two percent, but showed impressive improvement on a per day basis.</w:t>
      </w:r>
    </w:p>
    <w:p w:rsidR="001F61E6" w:rsidRPr="001F61E6" w:rsidRDefault="001F61E6" w:rsidP="001F61E6">
      <w:pPr>
        <w:spacing w:line="276" w:lineRule="auto"/>
        <w:rPr>
          <w:rFonts w:ascii="Arial" w:hAnsi="Arial" w:cs="Arial"/>
          <w:sz w:val="22"/>
          <w:szCs w:val="22"/>
          <w:lang w:eastAsia="en-CA"/>
        </w:rPr>
      </w:pPr>
    </w:p>
    <w:p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500EBA">
        <w:rPr>
          <w:rFonts w:ascii="Arial" w:hAnsi="Arial" w:cs="Arial"/>
          <w:bCs/>
          <w:sz w:val="22"/>
          <w:szCs w:val="22"/>
        </w:rPr>
        <w:t>66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500EBA">
        <w:rPr>
          <w:rFonts w:ascii="Arial" w:eastAsia="Calibri" w:hAnsi="Arial" w:cs="Arial"/>
          <w:sz w:val="22"/>
          <w:szCs w:val="22"/>
        </w:rPr>
        <w:t>11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8A22B1">
        <w:rPr>
          <w:rFonts w:ascii="Arial" w:hAnsi="Arial" w:cs="Arial"/>
          <w:sz w:val="22"/>
          <w:szCs w:val="22"/>
        </w:rPr>
        <w:t>nited States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500EBA">
        <w:rPr>
          <w:rFonts w:ascii="Arial" w:eastAsia="Calibri" w:hAnsi="Arial" w:cs="Arial"/>
          <w:bCs/>
          <w:sz w:val="22"/>
          <w:szCs w:val="22"/>
        </w:rPr>
        <w:t>de</w:t>
      </w:r>
      <w:r w:rsidR="00752A78">
        <w:rPr>
          <w:rFonts w:ascii="Arial" w:eastAsia="Calibri" w:hAnsi="Arial" w:cs="Arial"/>
          <w:bCs/>
          <w:sz w:val="22"/>
          <w:szCs w:val="22"/>
        </w:rPr>
        <w:t xml:space="preserve">creased </w:t>
      </w:r>
      <w:r w:rsidR="00D54EAC">
        <w:rPr>
          <w:rFonts w:ascii="Arial" w:eastAsia="Calibri" w:hAnsi="Arial" w:cs="Arial"/>
          <w:bCs/>
          <w:sz w:val="22"/>
          <w:szCs w:val="22"/>
        </w:rPr>
        <w:t>seven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6058FC" w:rsidRDefault="008370BD" w:rsidP="00A12EC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00EBA">
        <w:rPr>
          <w:rFonts w:ascii="Arial" w:eastAsia="Calibri" w:hAnsi="Arial" w:cs="Arial"/>
          <w:bCs/>
          <w:sz w:val="22"/>
          <w:szCs w:val="22"/>
        </w:rPr>
        <w:t>five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F3672F">
        <w:rPr>
          <w:rFonts w:ascii="Arial" w:eastAsia="Calibri" w:hAnsi="Arial" w:cs="Arial"/>
          <w:bCs/>
          <w:sz w:val="22"/>
          <w:szCs w:val="22"/>
        </w:rPr>
        <w:t>decreased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00EBA">
        <w:rPr>
          <w:rFonts w:ascii="Arial" w:eastAsia="Calibri" w:hAnsi="Arial" w:cs="Arial"/>
          <w:bCs/>
          <w:sz w:val="22"/>
          <w:szCs w:val="22"/>
        </w:rPr>
        <w:t>six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:rsidR="00CF4448" w:rsidRDefault="006058FC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="00CF4448"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="00CF4448"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="00CF4448"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="00CF4448"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992"/>
      </w:tblGrid>
      <w:tr w:rsidR="00F3672F" w:rsidTr="00363F43">
        <w:trPr>
          <w:trHeight w:val="288"/>
        </w:trPr>
        <w:tc>
          <w:tcPr>
            <w:tcW w:w="1843" w:type="dxa"/>
          </w:tcPr>
          <w:p w:rsidR="00F3672F" w:rsidRPr="008148D3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F3672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54EA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500E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3672F" w:rsidTr="00363F43">
        <w:trPr>
          <w:trHeight w:val="288"/>
        </w:trPr>
        <w:tc>
          <w:tcPr>
            <w:tcW w:w="1843" w:type="dxa"/>
          </w:tcPr>
          <w:p w:rsidR="00F3672F" w:rsidRPr="008148D3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F3672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500E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3672F" w:rsidTr="00363F43">
        <w:trPr>
          <w:trHeight w:val="288"/>
        </w:trPr>
        <w:tc>
          <w:tcPr>
            <w:tcW w:w="1843" w:type="dxa"/>
          </w:tcPr>
          <w:p w:rsidR="00F3672F" w:rsidRPr="008148D3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F3672F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500E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- 12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3672F" w:rsidTr="00363F43">
        <w:trPr>
          <w:trHeight w:val="288"/>
        </w:trPr>
        <w:tc>
          <w:tcPr>
            <w:tcW w:w="1843" w:type="dxa"/>
          </w:tcPr>
          <w:p w:rsidR="00F3672F" w:rsidRPr="008148D3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F3672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500E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2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992"/>
      </w:tblGrid>
      <w:tr w:rsidR="00F3672F" w:rsidTr="00363F43">
        <w:trPr>
          <w:trHeight w:val="288"/>
        </w:trPr>
        <w:tc>
          <w:tcPr>
            <w:tcW w:w="1843" w:type="dxa"/>
          </w:tcPr>
          <w:p w:rsidR="00F3672F" w:rsidRPr="00CC09B6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500EBA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="00F3672F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8F273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56F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3672F" w:rsidTr="00363F43">
        <w:trPr>
          <w:trHeight w:val="288"/>
        </w:trPr>
        <w:tc>
          <w:tcPr>
            <w:tcW w:w="1843" w:type="dxa"/>
          </w:tcPr>
          <w:p w:rsidR="00F3672F" w:rsidRPr="00CC09B6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F3672F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056F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8F273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3672F" w:rsidTr="00363F43">
        <w:trPr>
          <w:trHeight w:val="288"/>
        </w:trPr>
        <w:tc>
          <w:tcPr>
            <w:tcW w:w="1843" w:type="dxa"/>
          </w:tcPr>
          <w:p w:rsidR="00F3672F" w:rsidRPr="00CC09B6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Pr="00072A5A" w:rsidRDefault="00F3672F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8F273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 xml:space="preserve">  4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3672F" w:rsidTr="00363F43">
        <w:trPr>
          <w:trHeight w:val="288"/>
        </w:trPr>
        <w:tc>
          <w:tcPr>
            <w:tcW w:w="1843" w:type="dxa"/>
          </w:tcPr>
          <w:p w:rsidR="00F3672F" w:rsidRPr="00CC09B6" w:rsidRDefault="00F3672F" w:rsidP="00363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F3672F" w:rsidRDefault="00F3672F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72F" w:rsidRPr="00072A5A" w:rsidRDefault="008F2737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367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56F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3672F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643D87" w:rsidRDefault="00643D8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lastRenderedPageBreak/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500EBA">
        <w:rPr>
          <w:rFonts w:ascii="Arial" w:hAnsi="Arial" w:cs="Arial"/>
          <w:bCs/>
          <w:sz w:val="22"/>
          <w:szCs w:val="22"/>
        </w:rPr>
        <w:t>33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693335" w:rsidRDefault="00693335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2694"/>
        <w:gridCol w:w="1275"/>
        <w:gridCol w:w="993"/>
      </w:tblGrid>
      <w:tr w:rsidR="008F2737" w:rsidTr="00363F43">
        <w:tc>
          <w:tcPr>
            <w:tcW w:w="3969" w:type="dxa"/>
            <w:gridSpan w:val="3"/>
          </w:tcPr>
          <w:p w:rsidR="008F2737" w:rsidRPr="008148D3" w:rsidRDefault="008F273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4962" w:type="dxa"/>
            <w:gridSpan w:val="3"/>
          </w:tcPr>
          <w:p w:rsidR="008F2737" w:rsidRPr="008148D3" w:rsidRDefault="008F273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</w:tr>
      <w:tr w:rsidR="008F2737" w:rsidTr="00363F43">
        <w:tc>
          <w:tcPr>
            <w:tcW w:w="1701" w:type="dxa"/>
          </w:tcPr>
          <w:p w:rsidR="008F2737" w:rsidRPr="008148D3" w:rsidRDefault="008F2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Pr="00072A5A" w:rsidRDefault="008F273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0EB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694" w:type="dxa"/>
            <w:tcBorders>
              <w:left w:val="single" w:sz="4" w:space="0" w:color="A6A6A6" w:themeColor="background1" w:themeShade="A6"/>
            </w:tcBorders>
          </w:tcPr>
          <w:p w:rsidR="008F2737" w:rsidRPr="008148D3" w:rsidRDefault="008F2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Ontario:</w:t>
            </w:r>
          </w:p>
        </w:tc>
        <w:tc>
          <w:tcPr>
            <w:tcW w:w="1275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Pr="00072A5A" w:rsidRDefault="00B056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8F2737" w:rsidTr="00363F43">
        <w:tc>
          <w:tcPr>
            <w:tcW w:w="1701" w:type="dxa"/>
          </w:tcPr>
          <w:p w:rsidR="008F2737" w:rsidRPr="008148D3" w:rsidRDefault="008F273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Pr="00405CF7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 w:rsidRPr="00405C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56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694" w:type="dxa"/>
            <w:tcBorders>
              <w:left w:val="single" w:sz="4" w:space="0" w:color="A6A6A6" w:themeColor="background1" w:themeShade="A6"/>
            </w:tcBorders>
          </w:tcPr>
          <w:p w:rsidR="008F2737" w:rsidRPr="008148D3" w:rsidRDefault="008F2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Western:</w:t>
            </w:r>
          </w:p>
        </w:tc>
        <w:tc>
          <w:tcPr>
            <w:tcW w:w="1275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Default="00B056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218F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8F2737" w:rsidTr="00363F43">
        <w:tc>
          <w:tcPr>
            <w:tcW w:w="1701" w:type="dxa"/>
          </w:tcPr>
          <w:p w:rsidR="008F2737" w:rsidRPr="008148D3" w:rsidRDefault="008F273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Pr="00405CF7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6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694" w:type="dxa"/>
            <w:tcBorders>
              <w:left w:val="single" w:sz="4" w:space="0" w:color="A6A6A6" w:themeColor="background1" w:themeShade="A6"/>
            </w:tcBorders>
          </w:tcPr>
          <w:p w:rsidR="008F2737" w:rsidRPr="008148D3" w:rsidRDefault="008F2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Default="00B056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8F2737" w:rsidTr="00363F43">
        <w:tc>
          <w:tcPr>
            <w:tcW w:w="1701" w:type="dxa"/>
          </w:tcPr>
          <w:p w:rsidR="008F2737" w:rsidRPr="008148D3" w:rsidRDefault="008F273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Pr="00072A5A" w:rsidRDefault="00E37466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34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694" w:type="dxa"/>
            <w:tcBorders>
              <w:left w:val="single" w:sz="4" w:space="0" w:color="A6A6A6" w:themeColor="background1" w:themeShade="A6"/>
            </w:tcBorders>
          </w:tcPr>
          <w:p w:rsidR="008F2737" w:rsidRPr="008148D3" w:rsidRDefault="008F2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left w:val="nil"/>
              <w:right w:val="single" w:sz="4" w:space="0" w:color="A6A6A6" w:themeColor="background1" w:themeShade="A6"/>
            </w:tcBorders>
          </w:tcPr>
          <w:p w:rsidR="008F2737" w:rsidRDefault="00B056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99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2737" w:rsidRPr="00072A5A" w:rsidRDefault="00500EB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F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57</w:t>
            </w:r>
            <w:r w:rsidR="008F2737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3057C8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466701">
        <w:rPr>
          <w:rFonts w:ascii="Arial" w:hAnsi="Arial" w:cs="Arial"/>
          <w:bCs/>
          <w:sz w:val="22"/>
          <w:szCs w:val="22"/>
        </w:rPr>
        <w:t>4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E37466">
        <w:rPr>
          <w:rFonts w:ascii="Arial" w:eastAsiaTheme="minorEastAsia" w:hAnsi="Arial" w:cs="Arial"/>
          <w:bCs/>
          <w:sz w:val="22"/>
          <w:szCs w:val="22"/>
          <w:lang w:eastAsia="zh-CN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466701">
        <w:rPr>
          <w:rFonts w:ascii="Arial" w:hAnsi="Arial" w:cs="Arial"/>
          <w:bCs/>
          <w:sz w:val="22"/>
          <w:szCs w:val="22"/>
        </w:rPr>
        <w:t>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466701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3057C8" w:rsidRDefault="003057C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011F7B" w:rsidRDefault="00011F7B" w:rsidP="00405CF7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6058FC" w:rsidRDefault="006058FC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C522E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4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981E0C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7858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72"/>
        <w:gridCol w:w="942"/>
        <w:gridCol w:w="943"/>
      </w:tblGrid>
      <w:tr w:rsidR="002A3187" w:rsidRPr="00FA3821" w:rsidTr="00643D87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187" w:rsidRPr="00057861" w:rsidRDefault="002A3187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187" w:rsidRPr="001E767F" w:rsidRDefault="002A3187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187" w:rsidRPr="001E767F" w:rsidRDefault="002A3187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187" w:rsidRPr="001E767F" w:rsidRDefault="002A3187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3187" w:rsidRPr="001E767F" w:rsidRDefault="002A3187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3187" w:rsidRPr="001E767F" w:rsidRDefault="002A3187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3187" w:rsidRPr="00C075FB" w:rsidRDefault="002A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A3187" w:rsidRPr="00C075FB" w:rsidRDefault="002A31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3187" w:rsidRPr="00C075FB" w:rsidRDefault="002A3187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3187" w:rsidRPr="003562D1" w:rsidRDefault="002A3187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2A3187" w:rsidRPr="00744555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187" w:rsidRPr="00744555" w:rsidRDefault="002A3187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87" w:rsidRPr="00744555" w:rsidRDefault="002A3187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7" w:rsidRPr="00744555" w:rsidRDefault="002A3187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2A3187" w:rsidRPr="00744555" w:rsidTr="00466701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EA74F9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187" w:rsidRPr="000221BB" w:rsidRDefault="002A3187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87" w:rsidRPr="00643D87" w:rsidRDefault="00466701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87" w:rsidRPr="00466701" w:rsidRDefault="00466701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87" w:rsidRPr="00466701" w:rsidRDefault="00466701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-2%</w:t>
            </w:r>
          </w:p>
        </w:tc>
      </w:tr>
      <w:tr w:rsidR="002A3187" w:rsidRPr="00744555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8B53AD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3187" w:rsidRPr="00744555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941A92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3187" w:rsidRPr="00744555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701653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187" w:rsidRDefault="002A318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3187" w:rsidRPr="00744555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744555" w:rsidRDefault="002A3187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744555" w:rsidRDefault="002A3187" w:rsidP="00643D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3187" w:rsidRPr="00FA3821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DA6A4A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0A6FC2" w:rsidRDefault="002A3187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0A6FC2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0A6FC2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3187" w:rsidRPr="00FA3821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FD3691" w:rsidRDefault="002A3187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653854" w:rsidRDefault="002A3187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653854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653854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3187" w:rsidRPr="00FA3821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3187" w:rsidRPr="00C00BFC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2A2F15" w:rsidRDefault="002A3187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2A2F15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2A2F15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3187" w:rsidRPr="00FA3821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E6CC9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0208BB" w:rsidRDefault="002A3187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0208BB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0208BB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3187" w:rsidRPr="00FA3821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5653B4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E46516" w:rsidRDefault="002A3187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Default="002A318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E46516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E46516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3187" w:rsidRPr="00FA3821" w:rsidTr="00643D87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87" w:rsidRPr="00057861" w:rsidRDefault="002A3187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057861" w:rsidRDefault="002A3187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87" w:rsidRPr="00465EDF" w:rsidRDefault="002A3187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187" w:rsidRPr="00705164" w:rsidRDefault="002A3187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705164" w:rsidRDefault="002A3187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87" w:rsidRPr="00A12EC0" w:rsidRDefault="002A3187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3187" w:rsidRPr="00643D87" w:rsidRDefault="002A3187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A12EC0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A3187" w:rsidRPr="00A12EC0" w:rsidRDefault="002A3187" w:rsidP="00643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E54AF5" w:rsidRDefault="00E54AF5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81458" w:rsidRDefault="00CA0B06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45756CD3">
            <wp:extent cx="5206365" cy="379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511" w:rsidRDefault="00B22511" w:rsidP="00465EDF">
      <w:pPr>
        <w:jc w:val="center"/>
      </w:pPr>
    </w:p>
    <w:p w:rsidR="00917005" w:rsidRDefault="00B22511" w:rsidP="00B22511">
      <w:pPr>
        <w:jc w:val="center"/>
      </w:pPr>
      <w:r>
        <w:br w:type="page"/>
      </w:r>
    </w:p>
    <w:p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C522E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4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C522E1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C522E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81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72"/>
        <w:gridCol w:w="1111"/>
        <w:gridCol w:w="943"/>
      </w:tblGrid>
      <w:tr w:rsidR="00B908F0" w:rsidRPr="00FA3821" w:rsidTr="00643D87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08F0" w:rsidRPr="00057861" w:rsidRDefault="00B908F0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08F0" w:rsidRPr="001E767F" w:rsidRDefault="00B908F0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08F0" w:rsidRPr="001E767F" w:rsidRDefault="00B908F0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08F0" w:rsidRPr="001E767F" w:rsidRDefault="00B908F0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08F0" w:rsidRPr="001E767F" w:rsidRDefault="00B908F0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08F0" w:rsidRPr="001E767F" w:rsidRDefault="00B908F0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08F0" w:rsidRPr="009164FC" w:rsidRDefault="00B908F0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08F0" w:rsidRPr="009164FC" w:rsidRDefault="00B908F0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08F0" w:rsidRDefault="00B908F0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:rsidR="00B908F0" w:rsidRPr="009164FC" w:rsidRDefault="00B908F0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08F0" w:rsidRPr="00E46DE6" w:rsidRDefault="00B908F0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B908F0" w:rsidRPr="003562D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8F0" w:rsidRPr="00744555" w:rsidRDefault="00B908F0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F0" w:rsidRPr="00744555" w:rsidRDefault="00B908F0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F0" w:rsidRPr="00744555" w:rsidRDefault="00B908F0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F0" w:rsidRDefault="00B908F0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744555" w:rsidRDefault="00B908F0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F0" w:rsidRPr="00744555" w:rsidRDefault="00B908F0" w:rsidP="0064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B908F0" w:rsidRPr="00FA3821" w:rsidTr="0046670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F0" w:rsidRDefault="00466701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F0" w:rsidRPr="00466701" w:rsidRDefault="00466701" w:rsidP="0046670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F0" w:rsidRPr="00466701" w:rsidRDefault="00466701" w:rsidP="0046670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9439D8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8F0" w:rsidRPr="00FA3821" w:rsidTr="00643D87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8F0" w:rsidRPr="00057861" w:rsidRDefault="00B908F0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057861" w:rsidRDefault="00B908F0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8F0" w:rsidRPr="00744555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Del="00E07910" w:rsidRDefault="00B908F0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908F0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908F0" w:rsidRPr="00744555" w:rsidRDefault="00B908F0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AE04A6" w:rsidRDefault="00AE04A6" w:rsidP="00531762">
      <w:pPr>
        <w:tabs>
          <w:tab w:val="left" w:pos="3870"/>
        </w:tabs>
      </w:pPr>
    </w:p>
    <w:p w:rsidR="00090277" w:rsidRDefault="00CA0B06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658C7668">
            <wp:extent cx="5212715" cy="398716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AC7F37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22" w:rsidRDefault="00A84C22" w:rsidP="00632632">
      <w:r>
        <w:separator/>
      </w:r>
    </w:p>
  </w:endnote>
  <w:endnote w:type="continuationSeparator" w:id="0">
    <w:p w:rsidR="00A84C22" w:rsidRDefault="00A84C22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22" w:rsidRDefault="00A84C22" w:rsidP="00632632">
      <w:r>
        <w:separator/>
      </w:r>
    </w:p>
  </w:footnote>
  <w:footnote w:type="continuationSeparator" w:id="0">
    <w:p w:rsidR="00A84C22" w:rsidRDefault="00A84C22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99" w:rsidRDefault="00D44599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4599" w:rsidRDefault="00D44599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:rsidR="00D44599" w:rsidRDefault="00D44599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 w:rsidR="00D54EAC"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 w:rsidR="007933B6">
      <w:rPr>
        <w:rFonts w:ascii="Arial" w:hAnsi="Arial" w:cs="Arial"/>
        <w:b/>
        <w:color w:val="1F497D" w:themeColor="text2"/>
        <w:sz w:val="28"/>
        <w:szCs w:val="22"/>
      </w:rPr>
      <w:t>February</w:t>
    </w:r>
    <w:r w:rsidR="008230E6"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>
      <w:rPr>
        <w:rFonts w:ascii="Arial" w:hAnsi="Arial" w:cs="Arial"/>
        <w:b/>
        <w:color w:val="1F497D" w:themeColor="text2"/>
        <w:sz w:val="28"/>
        <w:szCs w:val="22"/>
      </w:rPr>
      <w:t>20</w:t>
    </w:r>
    <w:r w:rsidR="00981E0C">
      <w:rPr>
        <w:rFonts w:ascii="Arial" w:hAnsi="Arial" w:cs="Arial"/>
        <w:b/>
        <w:color w:val="1F497D" w:themeColor="text2"/>
        <w:sz w:val="28"/>
        <w:szCs w:val="22"/>
      </w:rPr>
      <w:t>20</w:t>
    </w:r>
  </w:p>
  <w:p w:rsidR="00D44599" w:rsidRPr="00980284" w:rsidRDefault="00D44599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:rsidR="00D44599" w:rsidRDefault="00D44599" w:rsidP="00B22511">
    <w:pPr>
      <w:pStyle w:val="BalloonText"/>
      <w:jc w:val="right"/>
    </w:pPr>
  </w:p>
  <w:p w:rsidR="00D44599" w:rsidRDefault="00D44599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1F7B"/>
    <w:rsid w:val="000127D7"/>
    <w:rsid w:val="000171B3"/>
    <w:rsid w:val="000208BB"/>
    <w:rsid w:val="000218FC"/>
    <w:rsid w:val="000221BB"/>
    <w:rsid w:val="00027482"/>
    <w:rsid w:val="0003208C"/>
    <w:rsid w:val="0003210F"/>
    <w:rsid w:val="00034DBF"/>
    <w:rsid w:val="00035D37"/>
    <w:rsid w:val="00037118"/>
    <w:rsid w:val="00041E98"/>
    <w:rsid w:val="000421C7"/>
    <w:rsid w:val="0004371B"/>
    <w:rsid w:val="0004598D"/>
    <w:rsid w:val="00053DE0"/>
    <w:rsid w:val="00061658"/>
    <w:rsid w:val="00072A5A"/>
    <w:rsid w:val="00073E7F"/>
    <w:rsid w:val="00073F2B"/>
    <w:rsid w:val="00075959"/>
    <w:rsid w:val="00076276"/>
    <w:rsid w:val="00090277"/>
    <w:rsid w:val="00090C9C"/>
    <w:rsid w:val="0009158B"/>
    <w:rsid w:val="00094E34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E02D4"/>
    <w:rsid w:val="001044F5"/>
    <w:rsid w:val="00111908"/>
    <w:rsid w:val="00112898"/>
    <w:rsid w:val="001159B0"/>
    <w:rsid w:val="00117A11"/>
    <w:rsid w:val="00120980"/>
    <w:rsid w:val="00122075"/>
    <w:rsid w:val="00124820"/>
    <w:rsid w:val="001251DA"/>
    <w:rsid w:val="00125488"/>
    <w:rsid w:val="00127C95"/>
    <w:rsid w:val="001428BF"/>
    <w:rsid w:val="001555F7"/>
    <w:rsid w:val="00157165"/>
    <w:rsid w:val="00160611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1E7F8C"/>
    <w:rsid w:val="001F61E6"/>
    <w:rsid w:val="00203D8B"/>
    <w:rsid w:val="00205EC1"/>
    <w:rsid w:val="002078ED"/>
    <w:rsid w:val="002113D7"/>
    <w:rsid w:val="00217E8A"/>
    <w:rsid w:val="00223F7B"/>
    <w:rsid w:val="002244A7"/>
    <w:rsid w:val="00224CFC"/>
    <w:rsid w:val="0022589E"/>
    <w:rsid w:val="0023060B"/>
    <w:rsid w:val="002332E1"/>
    <w:rsid w:val="00233F17"/>
    <w:rsid w:val="00235883"/>
    <w:rsid w:val="0024151C"/>
    <w:rsid w:val="00241D0A"/>
    <w:rsid w:val="002437D3"/>
    <w:rsid w:val="00246DB4"/>
    <w:rsid w:val="00251572"/>
    <w:rsid w:val="002573D2"/>
    <w:rsid w:val="00257B1D"/>
    <w:rsid w:val="0026277C"/>
    <w:rsid w:val="00262E50"/>
    <w:rsid w:val="002633BB"/>
    <w:rsid w:val="00265702"/>
    <w:rsid w:val="0026690D"/>
    <w:rsid w:val="0027006A"/>
    <w:rsid w:val="002707AD"/>
    <w:rsid w:val="0027466B"/>
    <w:rsid w:val="00276E96"/>
    <w:rsid w:val="0027774F"/>
    <w:rsid w:val="0027795B"/>
    <w:rsid w:val="002828FB"/>
    <w:rsid w:val="00292CCC"/>
    <w:rsid w:val="00295C6F"/>
    <w:rsid w:val="002A2F15"/>
    <w:rsid w:val="002A3187"/>
    <w:rsid w:val="002A537D"/>
    <w:rsid w:val="002A5B41"/>
    <w:rsid w:val="002A79A1"/>
    <w:rsid w:val="002B0259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57C8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3F43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D0FA2"/>
    <w:rsid w:val="003E1CD6"/>
    <w:rsid w:val="003E3F7E"/>
    <w:rsid w:val="003E5215"/>
    <w:rsid w:val="003E73A1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66701"/>
    <w:rsid w:val="0047083C"/>
    <w:rsid w:val="0047763F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C4319"/>
    <w:rsid w:val="004D0398"/>
    <w:rsid w:val="004D1109"/>
    <w:rsid w:val="004E21E5"/>
    <w:rsid w:val="004E2DE4"/>
    <w:rsid w:val="00500EBA"/>
    <w:rsid w:val="005019B6"/>
    <w:rsid w:val="00503940"/>
    <w:rsid w:val="00504AF4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1762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3CC3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8FC"/>
    <w:rsid w:val="00605A53"/>
    <w:rsid w:val="00607617"/>
    <w:rsid w:val="00610794"/>
    <w:rsid w:val="00623658"/>
    <w:rsid w:val="00626C33"/>
    <w:rsid w:val="00631DA3"/>
    <w:rsid w:val="00632632"/>
    <w:rsid w:val="006333F6"/>
    <w:rsid w:val="00633F78"/>
    <w:rsid w:val="00635F29"/>
    <w:rsid w:val="0063738C"/>
    <w:rsid w:val="00643D87"/>
    <w:rsid w:val="00653854"/>
    <w:rsid w:val="0065569D"/>
    <w:rsid w:val="00655A73"/>
    <w:rsid w:val="0066380E"/>
    <w:rsid w:val="00663EE3"/>
    <w:rsid w:val="006649C7"/>
    <w:rsid w:val="00665886"/>
    <w:rsid w:val="00670082"/>
    <w:rsid w:val="00674586"/>
    <w:rsid w:val="00674B76"/>
    <w:rsid w:val="00674DCE"/>
    <w:rsid w:val="006770D5"/>
    <w:rsid w:val="00683C18"/>
    <w:rsid w:val="0068781D"/>
    <w:rsid w:val="006900D4"/>
    <w:rsid w:val="00690172"/>
    <w:rsid w:val="00693335"/>
    <w:rsid w:val="006936CF"/>
    <w:rsid w:val="00694F3C"/>
    <w:rsid w:val="00696F25"/>
    <w:rsid w:val="006A733A"/>
    <w:rsid w:val="006A787A"/>
    <w:rsid w:val="006A7B4B"/>
    <w:rsid w:val="006C5536"/>
    <w:rsid w:val="006C5DD2"/>
    <w:rsid w:val="006D0BCC"/>
    <w:rsid w:val="006D4956"/>
    <w:rsid w:val="006D5EAE"/>
    <w:rsid w:val="006D77BD"/>
    <w:rsid w:val="006E0CD2"/>
    <w:rsid w:val="006E130C"/>
    <w:rsid w:val="006E6809"/>
    <w:rsid w:val="006E7AC5"/>
    <w:rsid w:val="006F06EE"/>
    <w:rsid w:val="006F325D"/>
    <w:rsid w:val="006F3591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9F5"/>
    <w:rsid w:val="00735C21"/>
    <w:rsid w:val="00736EF9"/>
    <w:rsid w:val="007425B2"/>
    <w:rsid w:val="00744555"/>
    <w:rsid w:val="00752A78"/>
    <w:rsid w:val="00760401"/>
    <w:rsid w:val="007629DC"/>
    <w:rsid w:val="0076335F"/>
    <w:rsid w:val="00767358"/>
    <w:rsid w:val="00767A0D"/>
    <w:rsid w:val="00770670"/>
    <w:rsid w:val="00787666"/>
    <w:rsid w:val="00787879"/>
    <w:rsid w:val="00792072"/>
    <w:rsid w:val="007923F6"/>
    <w:rsid w:val="007933B6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6609"/>
    <w:rsid w:val="007E0F7F"/>
    <w:rsid w:val="007E2350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1215E"/>
    <w:rsid w:val="008124F5"/>
    <w:rsid w:val="008148D3"/>
    <w:rsid w:val="00817A5C"/>
    <w:rsid w:val="00820D3C"/>
    <w:rsid w:val="008230E6"/>
    <w:rsid w:val="00823AAA"/>
    <w:rsid w:val="00825B6D"/>
    <w:rsid w:val="008270A0"/>
    <w:rsid w:val="00827E0F"/>
    <w:rsid w:val="008336BB"/>
    <w:rsid w:val="0083488A"/>
    <w:rsid w:val="008348C5"/>
    <w:rsid w:val="00835822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22B1"/>
    <w:rsid w:val="008A4E6B"/>
    <w:rsid w:val="008B21BF"/>
    <w:rsid w:val="008B73EE"/>
    <w:rsid w:val="008C26F9"/>
    <w:rsid w:val="008D2EA5"/>
    <w:rsid w:val="008D3B1E"/>
    <w:rsid w:val="008D412F"/>
    <w:rsid w:val="008D6FE9"/>
    <w:rsid w:val="008E0724"/>
    <w:rsid w:val="008E3A3A"/>
    <w:rsid w:val="008E4CF1"/>
    <w:rsid w:val="008E5287"/>
    <w:rsid w:val="008E60AD"/>
    <w:rsid w:val="008E6EE8"/>
    <w:rsid w:val="008E792F"/>
    <w:rsid w:val="008F25AB"/>
    <w:rsid w:val="008F2737"/>
    <w:rsid w:val="008F2F8B"/>
    <w:rsid w:val="008F5322"/>
    <w:rsid w:val="00900751"/>
    <w:rsid w:val="0090471F"/>
    <w:rsid w:val="00905E29"/>
    <w:rsid w:val="00912338"/>
    <w:rsid w:val="009163C3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681A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1E0C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2FA3"/>
    <w:rsid w:val="009C4EE4"/>
    <w:rsid w:val="009C6304"/>
    <w:rsid w:val="009C7393"/>
    <w:rsid w:val="009C7ADC"/>
    <w:rsid w:val="009D3FB7"/>
    <w:rsid w:val="009D4ED5"/>
    <w:rsid w:val="009E0AF4"/>
    <w:rsid w:val="009E428A"/>
    <w:rsid w:val="009E60A4"/>
    <w:rsid w:val="009E7BAC"/>
    <w:rsid w:val="009E7EA5"/>
    <w:rsid w:val="009F4291"/>
    <w:rsid w:val="009F5B04"/>
    <w:rsid w:val="009F6B5E"/>
    <w:rsid w:val="00A0065E"/>
    <w:rsid w:val="00A02140"/>
    <w:rsid w:val="00A02C05"/>
    <w:rsid w:val="00A05152"/>
    <w:rsid w:val="00A07972"/>
    <w:rsid w:val="00A12EC0"/>
    <w:rsid w:val="00A13E26"/>
    <w:rsid w:val="00A14EC0"/>
    <w:rsid w:val="00A16159"/>
    <w:rsid w:val="00A260A3"/>
    <w:rsid w:val="00A345A0"/>
    <w:rsid w:val="00A35553"/>
    <w:rsid w:val="00A364BC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C22"/>
    <w:rsid w:val="00A86579"/>
    <w:rsid w:val="00A86AC0"/>
    <w:rsid w:val="00A91456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B5927"/>
    <w:rsid w:val="00AB7115"/>
    <w:rsid w:val="00AC25CE"/>
    <w:rsid w:val="00AC2E96"/>
    <w:rsid w:val="00AC7363"/>
    <w:rsid w:val="00AC7F37"/>
    <w:rsid w:val="00AD04EC"/>
    <w:rsid w:val="00AD0AFE"/>
    <w:rsid w:val="00AD3EE2"/>
    <w:rsid w:val="00AD5407"/>
    <w:rsid w:val="00AE04A6"/>
    <w:rsid w:val="00AE4B60"/>
    <w:rsid w:val="00AE5032"/>
    <w:rsid w:val="00AF09E9"/>
    <w:rsid w:val="00AF4E06"/>
    <w:rsid w:val="00AF7218"/>
    <w:rsid w:val="00B056F5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56FC6"/>
    <w:rsid w:val="00B62C78"/>
    <w:rsid w:val="00B63BCC"/>
    <w:rsid w:val="00B6601E"/>
    <w:rsid w:val="00B81458"/>
    <w:rsid w:val="00B83D4B"/>
    <w:rsid w:val="00B8406A"/>
    <w:rsid w:val="00B84599"/>
    <w:rsid w:val="00B86D94"/>
    <w:rsid w:val="00B908F0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20E"/>
    <w:rsid w:val="00C33ED4"/>
    <w:rsid w:val="00C36D3F"/>
    <w:rsid w:val="00C42BBC"/>
    <w:rsid w:val="00C478FE"/>
    <w:rsid w:val="00C47EF1"/>
    <w:rsid w:val="00C522E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158E"/>
    <w:rsid w:val="00C94FB3"/>
    <w:rsid w:val="00C96587"/>
    <w:rsid w:val="00C97D92"/>
    <w:rsid w:val="00CA0B06"/>
    <w:rsid w:val="00CA137A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2AE3"/>
    <w:rsid w:val="00D44599"/>
    <w:rsid w:val="00D44BD8"/>
    <w:rsid w:val="00D46231"/>
    <w:rsid w:val="00D46F82"/>
    <w:rsid w:val="00D472B2"/>
    <w:rsid w:val="00D506E5"/>
    <w:rsid w:val="00D54EAC"/>
    <w:rsid w:val="00D55E5F"/>
    <w:rsid w:val="00D64982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A7BD2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0582"/>
    <w:rsid w:val="00DF24BF"/>
    <w:rsid w:val="00DF35B7"/>
    <w:rsid w:val="00DF4226"/>
    <w:rsid w:val="00DF4795"/>
    <w:rsid w:val="00E14AE6"/>
    <w:rsid w:val="00E16C04"/>
    <w:rsid w:val="00E27F98"/>
    <w:rsid w:val="00E309BB"/>
    <w:rsid w:val="00E30B87"/>
    <w:rsid w:val="00E32816"/>
    <w:rsid w:val="00E335DA"/>
    <w:rsid w:val="00E34662"/>
    <w:rsid w:val="00E37466"/>
    <w:rsid w:val="00E40C61"/>
    <w:rsid w:val="00E46516"/>
    <w:rsid w:val="00E467C8"/>
    <w:rsid w:val="00E54AF5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14A"/>
    <w:rsid w:val="00E92705"/>
    <w:rsid w:val="00E927B9"/>
    <w:rsid w:val="00EA0052"/>
    <w:rsid w:val="00EA31B7"/>
    <w:rsid w:val="00EA5A50"/>
    <w:rsid w:val="00EA799F"/>
    <w:rsid w:val="00EB2259"/>
    <w:rsid w:val="00EB5FC0"/>
    <w:rsid w:val="00EC342A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EF3D5C"/>
    <w:rsid w:val="00EF7D5E"/>
    <w:rsid w:val="00F01769"/>
    <w:rsid w:val="00F042A6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672F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7DA"/>
    <w:rsid w:val="00F74FC1"/>
    <w:rsid w:val="00F75ECE"/>
    <w:rsid w:val="00F90C4C"/>
    <w:rsid w:val="00F91820"/>
    <w:rsid w:val="00F92B1D"/>
    <w:rsid w:val="00F962FA"/>
    <w:rsid w:val="00F96357"/>
    <w:rsid w:val="00F978BD"/>
    <w:rsid w:val="00FA3416"/>
    <w:rsid w:val="00FA64F9"/>
    <w:rsid w:val="00FA6B82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91D5-1FC3-4144-B107-B46DFE15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Campbell-Jones, Karen</cp:lastModifiedBy>
  <cp:revision>3</cp:revision>
  <cp:lastPrinted>2015-01-12T14:51:00Z</cp:lastPrinted>
  <dcterms:created xsi:type="dcterms:W3CDTF">2020-03-11T19:03:00Z</dcterms:created>
  <dcterms:modified xsi:type="dcterms:W3CDTF">2020-03-15T20:58:00Z</dcterms:modified>
</cp:coreProperties>
</file>