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77777777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4260C">
        <w:rPr>
          <w:rFonts w:ascii="Arial" w:eastAsia="Calibri" w:hAnsi="Arial" w:cs="Arial"/>
          <w:bCs/>
          <w:sz w:val="22"/>
          <w:szCs w:val="22"/>
        </w:rPr>
        <w:t>increased</w:t>
      </w:r>
      <w:r w:rsidR="00344C66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0208A">
        <w:rPr>
          <w:rFonts w:ascii="Arial" w:eastAsia="Calibri" w:hAnsi="Arial" w:cs="Arial"/>
          <w:bCs/>
          <w:sz w:val="22"/>
          <w:szCs w:val="22"/>
        </w:rPr>
        <w:t>two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06E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0208A">
        <w:rPr>
          <w:rFonts w:ascii="Arial" w:eastAsia="Calibri" w:hAnsi="Arial" w:cs="Arial"/>
          <w:bCs/>
          <w:sz w:val="22"/>
          <w:szCs w:val="22"/>
        </w:rPr>
        <w:t>July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87933">
        <w:rPr>
          <w:rFonts w:ascii="Arial" w:eastAsia="Calibri" w:hAnsi="Arial" w:cs="Arial"/>
          <w:bCs/>
          <w:sz w:val="22"/>
          <w:szCs w:val="22"/>
        </w:rPr>
        <w:t>2020.</w:t>
      </w:r>
    </w:p>
    <w:p w14:paraId="1ABDC0E9" w14:textId="77777777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C3057F">
        <w:rPr>
          <w:rFonts w:ascii="Arial" w:eastAsia="Calibri" w:hAnsi="Arial" w:cs="Arial"/>
          <w:bCs/>
          <w:sz w:val="22"/>
          <w:szCs w:val="22"/>
        </w:rPr>
        <w:t>increased two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3057F">
        <w:rPr>
          <w:rFonts w:ascii="Arial" w:eastAsia="Calibri" w:hAnsi="Arial" w:cs="Arial"/>
          <w:bCs/>
          <w:sz w:val="22"/>
          <w:szCs w:val="22"/>
        </w:rPr>
        <w:t>August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E87933">
        <w:rPr>
          <w:rFonts w:ascii="Arial" w:eastAsia="Calibri" w:hAnsi="Arial" w:cs="Arial"/>
          <w:bCs/>
          <w:sz w:val="22"/>
          <w:szCs w:val="22"/>
        </w:rPr>
        <w:t>9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77777777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  <w:r w:rsidR="00976307">
        <w:rPr>
          <w:rFonts w:ascii="Arial" w:hAnsi="Arial" w:cs="Arial"/>
          <w:sz w:val="22"/>
        </w:rPr>
        <w:t xml:space="preserve"> </w:t>
      </w:r>
      <w:r w:rsidR="00E76228" w:rsidRPr="00E76228">
        <w:rPr>
          <w:rFonts w:ascii="Arial" w:hAnsi="Arial" w:cs="Arial"/>
          <w:sz w:val="22"/>
          <w:lang w:eastAsia="en-CA"/>
        </w:rPr>
        <w:t>Load volumes on Loadlink’s Canadian spot market rose again for the third consecutive month as a result of a two percent month-over-month increase from July. On a year-over-year basis, August 2020 load postings were also two percent higher than August 2019. In 2019, August volumes followed a similar pattern as load volumes went up by two percent from July 2019.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77777777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712D82">
        <w:rPr>
          <w:rFonts w:ascii="Arial" w:hAnsi="Arial" w:cs="Arial"/>
          <w:bCs/>
          <w:sz w:val="22"/>
          <w:szCs w:val="22"/>
        </w:rPr>
        <w:t>5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0CB314CB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712D82">
        <w:rPr>
          <w:rFonts w:ascii="Arial" w:eastAsia="Calibri" w:hAnsi="Arial" w:cs="Arial"/>
          <w:sz w:val="22"/>
          <w:szCs w:val="22"/>
        </w:rPr>
        <w:t>increased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70208A">
        <w:rPr>
          <w:rFonts w:ascii="Arial" w:eastAsia="Calibri" w:hAnsi="Arial" w:cs="Arial"/>
          <w:sz w:val="22"/>
          <w:szCs w:val="22"/>
        </w:rPr>
        <w:t>16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AD6924">
        <w:rPr>
          <w:rFonts w:ascii="Arial" w:hAnsi="Arial" w:cs="Arial"/>
          <w:sz w:val="22"/>
          <w:szCs w:val="22"/>
        </w:rPr>
        <w:t>nited States</w:t>
      </w:r>
      <w:bookmarkStart w:id="0" w:name="_GoBack"/>
      <w:bookmarkEnd w:id="0"/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CA4B33">
        <w:rPr>
          <w:rFonts w:ascii="Arial" w:eastAsia="Calibri" w:hAnsi="Arial" w:cs="Arial"/>
          <w:bCs/>
          <w:sz w:val="22"/>
          <w:szCs w:val="22"/>
        </w:rPr>
        <w:t>de</w:t>
      </w:r>
      <w:r w:rsidR="000A1DEB">
        <w:rPr>
          <w:rFonts w:ascii="Arial" w:eastAsia="Calibri" w:hAnsi="Arial" w:cs="Arial"/>
          <w:bCs/>
          <w:sz w:val="22"/>
          <w:szCs w:val="22"/>
        </w:rPr>
        <w:t>creased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nine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08FADD23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de</w:t>
      </w:r>
      <w:r w:rsidR="006A5A94">
        <w:rPr>
          <w:rFonts w:ascii="Arial" w:eastAsia="Calibri" w:hAnsi="Arial" w:cs="Arial"/>
          <w:bCs/>
          <w:sz w:val="22"/>
          <w:szCs w:val="22"/>
        </w:rPr>
        <w:t>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12D82">
        <w:rPr>
          <w:rFonts w:ascii="Arial" w:eastAsia="Calibri" w:hAnsi="Arial" w:cs="Arial"/>
          <w:bCs/>
          <w:sz w:val="22"/>
          <w:szCs w:val="22"/>
        </w:rPr>
        <w:t>1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6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002D22">
        <w:rPr>
          <w:rFonts w:ascii="Arial" w:eastAsia="Calibri" w:hAnsi="Arial" w:cs="Arial"/>
          <w:bCs/>
          <w:sz w:val="22"/>
          <w:szCs w:val="22"/>
        </w:rPr>
        <w:t>de</w:t>
      </w:r>
      <w:r w:rsidR="000A1DEB">
        <w:rPr>
          <w:rFonts w:ascii="Arial" w:eastAsia="Calibri" w:hAnsi="Arial" w:cs="Arial"/>
          <w:bCs/>
          <w:sz w:val="22"/>
          <w:szCs w:val="22"/>
        </w:rPr>
        <w:t>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12D82">
        <w:rPr>
          <w:rFonts w:ascii="Arial" w:eastAsia="Calibri" w:hAnsi="Arial" w:cs="Arial"/>
          <w:bCs/>
          <w:sz w:val="22"/>
          <w:szCs w:val="22"/>
        </w:rPr>
        <w:t>eight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77777777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0208A">
              <w:rPr>
                <w:rFonts w:ascii="Arial" w:hAnsi="Arial" w:cs="Arial"/>
                <w:bCs/>
                <w:sz w:val="22"/>
                <w:szCs w:val="22"/>
              </w:rPr>
              <w:t>61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77777777" w:rsidR="00977CF3" w:rsidRPr="00072A5A" w:rsidRDefault="00712D82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 xml:space="preserve"> 11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77777777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0208A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77777777" w:rsidR="00977CF3" w:rsidRPr="00072A5A" w:rsidRDefault="00744A39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77777777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0208A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77777777" w:rsidR="00977CF3" w:rsidRPr="00072A5A" w:rsidRDefault="00712D82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77777777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77777777" w:rsidR="00977CF3" w:rsidRPr="00072A5A" w:rsidRDefault="00744A39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127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0208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77777777" w:rsidR="00977CF3" w:rsidRPr="00072A5A" w:rsidRDefault="00744A39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4B33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77777777" w:rsidR="00977CF3" w:rsidRPr="00072A5A" w:rsidRDefault="00744A39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0208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77777777" w:rsidR="00977CF3" w:rsidRPr="00072A5A" w:rsidRDefault="00712D82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37060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 xml:space="preserve"> 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77777777" w:rsidR="00977CF3" w:rsidRPr="00072A5A" w:rsidRDefault="00744A39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77777777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712D82">
        <w:rPr>
          <w:rFonts w:ascii="Arial" w:hAnsi="Arial" w:cs="Arial"/>
          <w:bCs/>
          <w:sz w:val="22"/>
          <w:szCs w:val="22"/>
        </w:rPr>
        <w:t>33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77777777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77777777" w:rsidR="00FF5031" w:rsidRPr="00072A5A" w:rsidRDefault="00744A39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5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77777777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716A9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77777777" w:rsidR="00FF5031" w:rsidRPr="00072A5A" w:rsidRDefault="00155582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 xml:space="preserve">  8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77777777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77777777" w:rsidR="00FF5031" w:rsidRPr="00072A5A" w:rsidRDefault="00744A39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77777777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>36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77777777" w:rsidR="00FF5031" w:rsidRPr="00072A5A" w:rsidRDefault="00744A39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16A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12D82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77777777" w:rsidR="00FF5031" w:rsidRPr="00072A5A" w:rsidRDefault="00744A39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77777777" w:rsidR="00FF5031" w:rsidRPr="00072A5A" w:rsidRDefault="00155582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77777777" w:rsidR="00FF5031" w:rsidRPr="00072A5A" w:rsidRDefault="00155582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427C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4A39">
              <w:rPr>
                <w:rFonts w:ascii="Arial" w:hAnsi="Arial" w:cs="Arial"/>
                <w:bCs/>
                <w:sz w:val="22"/>
                <w:szCs w:val="22"/>
              </w:rPr>
              <w:t xml:space="preserve"> 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77777777" w:rsidR="00FF5031" w:rsidRPr="00072A5A" w:rsidRDefault="00744A39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77777777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744A39">
        <w:rPr>
          <w:rFonts w:ascii="Arial" w:hAnsi="Arial" w:cs="Arial"/>
          <w:bCs/>
          <w:sz w:val="22"/>
          <w:szCs w:val="22"/>
        </w:rPr>
        <w:t>0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744A39">
        <w:rPr>
          <w:rFonts w:ascii="Arial" w:eastAsiaTheme="minorEastAsia" w:hAnsi="Arial" w:cs="Arial"/>
          <w:bCs/>
          <w:sz w:val="22"/>
          <w:szCs w:val="22"/>
          <w:lang w:eastAsia="zh-CN"/>
        </w:rPr>
        <w:t>8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712D82">
        <w:rPr>
          <w:rFonts w:ascii="Arial" w:hAnsi="Arial" w:cs="Arial"/>
          <w:bCs/>
          <w:sz w:val="22"/>
          <w:szCs w:val="22"/>
        </w:rPr>
        <w:t>6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744A39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77777777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14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</w:p>
    <w:tbl>
      <w:tblPr>
        <w:tblW w:w="7858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72"/>
        <w:gridCol w:w="942"/>
        <w:gridCol w:w="943"/>
      </w:tblGrid>
      <w:tr w:rsidR="00002D22" w:rsidRPr="00FA3821" w14:paraId="3D967EE6" w14:textId="77777777" w:rsidTr="00761538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002D22" w:rsidRPr="00057861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5DF18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002D22" w:rsidRPr="003562D1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002D22" w:rsidRPr="00744555" w14:paraId="333BB085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F0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77777777" w:rsidR="00002D22" w:rsidRPr="00744555" w:rsidRDefault="00002D2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77777777" w:rsidR="00002D22" w:rsidRPr="00744555" w:rsidRDefault="00002D2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002D22" w:rsidRPr="00744555" w14:paraId="72078806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E6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002D22" w:rsidRPr="00EA74F9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002D22" w:rsidRPr="000221BB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77777777" w:rsidR="00002D22" w:rsidRPr="00466701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sz w:val="22"/>
                <w:szCs w:val="22"/>
              </w:rPr>
              <w:t>-9%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77777777" w:rsidR="00002D22" w:rsidRPr="00466701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sz w:val="22"/>
                <w:szCs w:val="22"/>
              </w:rPr>
              <w:t>-2%</w:t>
            </w:r>
          </w:p>
        </w:tc>
      </w:tr>
      <w:tr w:rsidR="00002D22" w:rsidRPr="00744555" w14:paraId="1E12A988" w14:textId="77777777" w:rsidTr="00306605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61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002D22" w:rsidRPr="008B53AD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19%</w:t>
            </w:r>
          </w:p>
        </w:tc>
      </w:tr>
      <w:tr w:rsidR="00002D22" w:rsidRPr="00744555" w14:paraId="3612FC53" w14:textId="77777777" w:rsidTr="00BB176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92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002D22" w:rsidRPr="00941A92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002D22" w:rsidRPr="00643D87" w:rsidRDefault="00624F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77777777" w:rsidR="00002D22" w:rsidRPr="00744555" w:rsidRDefault="00624F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77777777" w:rsidR="00002D22" w:rsidRPr="00744555" w:rsidRDefault="00624F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-56%</w:t>
            </w:r>
          </w:p>
        </w:tc>
      </w:tr>
      <w:tr w:rsidR="00002D22" w:rsidRPr="00744555" w14:paraId="3343940E" w14:textId="77777777" w:rsidTr="00685471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74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002D22" w:rsidRPr="00701653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002D22" w:rsidRPr="00643D87" w:rsidRDefault="006854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77777777" w:rsidR="00002D22" w:rsidRPr="00744555" w:rsidRDefault="0068547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77777777" w:rsidR="00002D22" w:rsidRPr="00744555" w:rsidRDefault="0068547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5%</w:t>
            </w:r>
          </w:p>
        </w:tc>
      </w:tr>
      <w:tr w:rsidR="00002D22" w:rsidRPr="00744555" w14:paraId="662F62BA" w14:textId="77777777" w:rsidTr="008E1E9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1D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002D22" w:rsidRPr="00643D87" w:rsidRDefault="008E1E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77777777" w:rsidR="00002D22" w:rsidRPr="00744555" w:rsidRDefault="008E1E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77777777" w:rsidR="00002D22" w:rsidRPr="00744555" w:rsidRDefault="008E1E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42%</w:t>
            </w:r>
          </w:p>
        </w:tc>
      </w:tr>
      <w:tr w:rsidR="00002D22" w:rsidRPr="00FA3821" w14:paraId="132E5EC6" w14:textId="77777777" w:rsidTr="009D09F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FD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002D22" w:rsidRPr="00DA6A4A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002D22" w:rsidRPr="000A6FC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002D22" w:rsidRPr="00643D87" w:rsidRDefault="009D0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77777777" w:rsidR="00002D22" w:rsidRPr="000A6FC2" w:rsidRDefault="009D09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77777777" w:rsidR="00002D22" w:rsidRPr="000A6FC2" w:rsidRDefault="009D09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002D22" w:rsidRPr="00FA3821" w14:paraId="7B2F054D" w14:textId="77777777" w:rsidTr="00744A3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90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002D22" w:rsidRPr="00FD3691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002D22" w:rsidRPr="00653854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002D22" w:rsidRPr="00643D87" w:rsidRDefault="00744A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77777777" w:rsidR="00002D22" w:rsidRPr="00653854" w:rsidRDefault="00744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77777777" w:rsidR="00002D22" w:rsidRPr="00653854" w:rsidRDefault="00744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002D22" w:rsidRPr="00FA3821" w14:paraId="295F4454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7A6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002D22" w:rsidRPr="00C00BFC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002D22" w:rsidRPr="002A2F15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E09E7B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E2C76D9" w14:textId="77777777" w:rsidR="00002D22" w:rsidRPr="002A2F15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D85C72" w14:textId="77777777" w:rsidR="00002D22" w:rsidRPr="002A2F15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D22" w:rsidRPr="00FA3821" w14:paraId="2270809E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D5E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002D22" w:rsidRPr="007E6CC9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002D22" w:rsidRPr="000208BB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230C43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9A3997" w14:textId="77777777" w:rsidR="00002D22" w:rsidRPr="000208BB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1A001C3" w14:textId="77777777" w:rsidR="00002D22" w:rsidRPr="000208BB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D22" w:rsidRPr="00FA3821" w14:paraId="0422BF4F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613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002D22" w:rsidRPr="005653B4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002D22" w:rsidRPr="00E46516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E9E613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2C46BD" w14:textId="77777777" w:rsidR="00002D22" w:rsidRPr="00E46516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BA28059" w14:textId="77777777" w:rsidR="00002D22" w:rsidRPr="00E46516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D22" w:rsidRPr="00FA3821" w14:paraId="25CE5214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95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002D22" w:rsidRPr="00705164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002D22" w:rsidRPr="00705164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002D22" w:rsidRPr="00A12EC0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FC5C2B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F68D9DB" w14:textId="77777777" w:rsidR="00002D22" w:rsidRPr="00A12EC0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7A6054" w14:textId="77777777" w:rsidR="00002D22" w:rsidRPr="00A12EC0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77777777" w:rsidR="00002D22" w:rsidRDefault="00744A39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22B27AFE" wp14:editId="3425396B">
            <wp:extent cx="5206365" cy="379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77777777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14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</w:p>
    <w:tbl>
      <w:tblPr>
        <w:tblW w:w="819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72"/>
        <w:gridCol w:w="1111"/>
        <w:gridCol w:w="943"/>
      </w:tblGrid>
      <w:tr w:rsidR="00002D22" w:rsidRPr="00FA3821" w14:paraId="63D1694B" w14:textId="77777777" w:rsidTr="00761538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002D22" w:rsidRPr="00057861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34925F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7777777" w:rsidR="00002D22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002D22" w:rsidRPr="00E46DE6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002D22" w:rsidRPr="003562D1" w14:paraId="036CB34A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8F98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77777777" w:rsidR="00002D22" w:rsidRPr="00744555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77777777" w:rsidR="00002D22" w:rsidRPr="00744555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002D22" w:rsidRPr="00FA3821" w14:paraId="478FA9DE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789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002D22" w:rsidRPr="00744555" w:rsidRDefault="00002D22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002D22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77777777" w:rsidR="00002D22" w:rsidRPr="00466701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77777777" w:rsidR="00002D22" w:rsidRPr="00466701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color w:val="000000"/>
                <w:sz w:val="22"/>
                <w:szCs w:val="22"/>
              </w:rPr>
              <w:t>-11%</w:t>
            </w:r>
          </w:p>
        </w:tc>
      </w:tr>
      <w:tr w:rsidR="00002D22" w:rsidRPr="00FA3821" w14:paraId="4F63DF53" w14:textId="77777777" w:rsidTr="00306605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D65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002D22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-9%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7%</w:t>
            </w:r>
          </w:p>
        </w:tc>
      </w:tr>
      <w:tr w:rsidR="00002D22" w:rsidRPr="00FA3821" w14:paraId="35774059" w14:textId="77777777" w:rsidTr="00BB176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895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002D22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77777777" w:rsidR="00002D22" w:rsidRPr="00744555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77777777" w:rsidR="00002D22" w:rsidRPr="00744555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15%</w:t>
            </w:r>
          </w:p>
        </w:tc>
      </w:tr>
      <w:tr w:rsidR="00002D22" w:rsidRPr="009439D8" w14:paraId="2BE23E59" w14:textId="77777777" w:rsidTr="0068547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6E9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002D22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7777777" w:rsidR="00002D22" w:rsidRPr="00744555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77777777" w:rsidR="00002D22" w:rsidRPr="00744555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-2%</w:t>
            </w:r>
          </w:p>
        </w:tc>
      </w:tr>
      <w:tr w:rsidR="00002D22" w:rsidRPr="00FA3821" w14:paraId="3A7368D1" w14:textId="77777777" w:rsidTr="008E1E9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8EE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002D22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77777777" w:rsidR="00002D22" w:rsidRPr="00744555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77777777" w:rsidR="00002D22" w:rsidRPr="00744555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</w:tr>
      <w:tr w:rsidR="00002D22" w:rsidRPr="00FA3821" w14:paraId="126BB9D2" w14:textId="77777777" w:rsidTr="009D09F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315A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002D22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77777777" w:rsidR="00002D22" w:rsidRPr="00744555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7777777" w:rsidR="00002D22" w:rsidRPr="00744555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</w:tr>
      <w:tr w:rsidR="00002D22" w:rsidRPr="00FA3821" w14:paraId="06661342" w14:textId="77777777" w:rsidTr="00744A3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937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002D22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77777777" w:rsidR="00002D22" w:rsidRPr="00744555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7777777" w:rsidR="00002D22" w:rsidRPr="00744555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-6%</w:t>
            </w:r>
          </w:p>
        </w:tc>
      </w:tr>
      <w:tr w:rsidR="00002D22" w:rsidRPr="00FA3821" w14:paraId="74896FA0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954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E5FD3B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B30964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202E7F4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02D22" w:rsidRPr="00FA3821" w14:paraId="22C58768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D55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065660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92C8893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80583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02D22" w:rsidRPr="00FA3821" w14:paraId="767F890F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2C4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7D8CD4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59084F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44A03C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02D22" w:rsidRPr="00FA3821" w14:paraId="63EB342B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4B6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B71F9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F43BE84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F0C61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77777777" w:rsidR="00002D22" w:rsidRDefault="00744A39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13187ADE" wp14:editId="2D2E4495">
            <wp:extent cx="5212715" cy="379222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7F607" w14:textId="77777777" w:rsidR="00391CB6" w:rsidRDefault="00391CB6" w:rsidP="00632632">
      <w:r>
        <w:separator/>
      </w:r>
    </w:p>
  </w:endnote>
  <w:endnote w:type="continuationSeparator" w:id="0">
    <w:p w14:paraId="655B554A" w14:textId="77777777" w:rsidR="00391CB6" w:rsidRDefault="00391CB6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98EB" w14:textId="77777777" w:rsidR="00391CB6" w:rsidRDefault="00391CB6" w:rsidP="00632632">
      <w:r>
        <w:separator/>
      </w:r>
    </w:p>
  </w:footnote>
  <w:footnote w:type="continuationSeparator" w:id="0">
    <w:p w14:paraId="30BAC667" w14:textId="77777777" w:rsidR="00391CB6" w:rsidRDefault="00391CB6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77777777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 </w:t>
    </w:r>
    <w:r w:rsidR="0070208A">
      <w:rPr>
        <w:rFonts w:ascii="Arial" w:hAnsi="Arial" w:cs="Arial"/>
        <w:b/>
        <w:color w:val="2E008B"/>
        <w:sz w:val="28"/>
        <w:szCs w:val="22"/>
      </w:rPr>
      <w:t>August</w:t>
    </w:r>
    <w:r w:rsidR="00344C66" w:rsidRPr="00F76856">
      <w:rPr>
        <w:rFonts w:ascii="Arial" w:hAnsi="Arial" w:cs="Arial"/>
        <w:b/>
        <w:color w:val="2E008B"/>
        <w:sz w:val="28"/>
        <w:szCs w:val="22"/>
      </w:rPr>
      <w:t xml:space="preserve"> </w:t>
    </w:r>
    <w:r w:rsidR="00D42AE3" w:rsidRPr="00F76856">
      <w:rPr>
        <w:rFonts w:ascii="Arial" w:hAnsi="Arial" w:cs="Arial"/>
        <w:b/>
        <w:color w:val="2E008B"/>
        <w:sz w:val="28"/>
        <w:szCs w:val="22"/>
      </w:rPr>
      <w:t>20</w:t>
    </w:r>
    <w:r w:rsidR="00E87933" w:rsidRPr="00F76856">
      <w:rPr>
        <w:rFonts w:ascii="Arial" w:hAnsi="Arial" w:cs="Arial"/>
        <w:b/>
        <w:color w:val="2E008B"/>
        <w:sz w:val="28"/>
        <w:szCs w:val="22"/>
      </w:rPr>
      <w:t>20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190"/>
    <w:rsid w:val="000313BE"/>
    <w:rsid w:val="0003208C"/>
    <w:rsid w:val="0003210F"/>
    <w:rsid w:val="00034188"/>
    <w:rsid w:val="00034DBF"/>
    <w:rsid w:val="00035D37"/>
    <w:rsid w:val="00037118"/>
    <w:rsid w:val="00041E98"/>
    <w:rsid w:val="000421C7"/>
    <w:rsid w:val="0004371B"/>
    <w:rsid w:val="0004598D"/>
    <w:rsid w:val="00053DE0"/>
    <w:rsid w:val="00061658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C7927"/>
    <w:rsid w:val="001D713A"/>
    <w:rsid w:val="001E1347"/>
    <w:rsid w:val="001E429A"/>
    <w:rsid w:val="001E4E0B"/>
    <w:rsid w:val="001E767F"/>
    <w:rsid w:val="001F7F95"/>
    <w:rsid w:val="00203D8B"/>
    <w:rsid w:val="00205EC1"/>
    <w:rsid w:val="002078ED"/>
    <w:rsid w:val="00217E8A"/>
    <w:rsid w:val="00223F7B"/>
    <w:rsid w:val="002244A7"/>
    <w:rsid w:val="00224CFC"/>
    <w:rsid w:val="0022589E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3E00"/>
    <w:rsid w:val="003305C4"/>
    <w:rsid w:val="00331D74"/>
    <w:rsid w:val="00344C66"/>
    <w:rsid w:val="00345770"/>
    <w:rsid w:val="00353315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1CB6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2575"/>
    <w:rsid w:val="005748B9"/>
    <w:rsid w:val="00593D07"/>
    <w:rsid w:val="00595E6D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2DA7"/>
    <w:rsid w:val="006F325D"/>
    <w:rsid w:val="006F3591"/>
    <w:rsid w:val="006F3ED0"/>
    <w:rsid w:val="006F5060"/>
    <w:rsid w:val="00701653"/>
    <w:rsid w:val="0070208A"/>
    <w:rsid w:val="007024AD"/>
    <w:rsid w:val="00705164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25B2"/>
    <w:rsid w:val="00744555"/>
    <w:rsid w:val="00744A39"/>
    <w:rsid w:val="007629DC"/>
    <w:rsid w:val="0076335F"/>
    <w:rsid w:val="00767358"/>
    <w:rsid w:val="00770670"/>
    <w:rsid w:val="00772CF0"/>
    <w:rsid w:val="007801C0"/>
    <w:rsid w:val="00780915"/>
    <w:rsid w:val="00787666"/>
    <w:rsid w:val="00792072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3BEF"/>
    <w:rsid w:val="00A260A3"/>
    <w:rsid w:val="00A26CD7"/>
    <w:rsid w:val="00A345A0"/>
    <w:rsid w:val="00A35553"/>
    <w:rsid w:val="00A364BC"/>
    <w:rsid w:val="00A374EA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D6924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1458"/>
    <w:rsid w:val="00B8406A"/>
    <w:rsid w:val="00B84599"/>
    <w:rsid w:val="00B86D94"/>
    <w:rsid w:val="00B93F62"/>
    <w:rsid w:val="00BA063C"/>
    <w:rsid w:val="00BA2993"/>
    <w:rsid w:val="00BA3CA9"/>
    <w:rsid w:val="00BA58D0"/>
    <w:rsid w:val="00BA7C46"/>
    <w:rsid w:val="00BB176F"/>
    <w:rsid w:val="00BB1C73"/>
    <w:rsid w:val="00BB4500"/>
    <w:rsid w:val="00BB73F5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929"/>
    <w:rsid w:val="00C36D3F"/>
    <w:rsid w:val="00C4260C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4BD8"/>
    <w:rsid w:val="00D46231"/>
    <w:rsid w:val="00D46F82"/>
    <w:rsid w:val="00D472B2"/>
    <w:rsid w:val="00D506E5"/>
    <w:rsid w:val="00D55B9D"/>
    <w:rsid w:val="00D55E5F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0582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C342A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7BD"/>
    <w:rsid w:val="00EE197A"/>
    <w:rsid w:val="00EF2C68"/>
    <w:rsid w:val="00EF2F55"/>
    <w:rsid w:val="00EF7D5E"/>
    <w:rsid w:val="00F01769"/>
    <w:rsid w:val="00F06937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B27F-AA9F-406E-8D05-C24958D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Singh, Regina</cp:lastModifiedBy>
  <cp:revision>2</cp:revision>
  <cp:lastPrinted>2015-01-12T14:51:00Z</cp:lastPrinted>
  <dcterms:created xsi:type="dcterms:W3CDTF">2020-09-22T20:31:00Z</dcterms:created>
  <dcterms:modified xsi:type="dcterms:W3CDTF">2020-09-22T20:31:00Z</dcterms:modified>
</cp:coreProperties>
</file>